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85B" w:rsidRPr="00CB0C5E" w:rsidRDefault="006E285B" w:rsidP="002E250E">
      <w:pPr>
        <w:pStyle w:val="Breakpage"/>
      </w:pPr>
    </w:p>
    <w:p w:rsidR="006E285B" w:rsidRPr="00CB0C5E" w:rsidRDefault="006E285B" w:rsidP="00A02A1A">
      <w:pPr>
        <w:pStyle w:val="Breakpage"/>
      </w:pPr>
    </w:p>
    <w:p w:rsidR="006E285B" w:rsidRPr="00CB0C5E" w:rsidRDefault="006E285B" w:rsidP="00A02A1A">
      <w:pPr>
        <w:pStyle w:val="Breakpage"/>
      </w:pPr>
    </w:p>
    <w:p w:rsidR="006E285B" w:rsidRPr="00CB0C5E" w:rsidRDefault="006E285B" w:rsidP="00A02A1A">
      <w:pPr>
        <w:pStyle w:val="Breakpage"/>
      </w:pPr>
    </w:p>
    <w:p w:rsidR="006E285B" w:rsidRPr="00CB0C5E" w:rsidRDefault="006E285B" w:rsidP="00A02A1A">
      <w:pPr>
        <w:pStyle w:val="Breakpage"/>
      </w:pPr>
    </w:p>
    <w:p w:rsidR="006E285B" w:rsidRPr="00CB0C5E" w:rsidRDefault="006E285B" w:rsidP="00A02A1A">
      <w:pPr>
        <w:pStyle w:val="Breakpage"/>
      </w:pPr>
      <w:r w:rsidRPr="00CB0C5E">
        <w:t xml:space="preserve">Appendix </w:t>
      </w:r>
      <w:r w:rsidR="00884B30" w:rsidRPr="00CB0C5E">
        <w:t>5</w:t>
      </w:r>
    </w:p>
    <w:p w:rsidR="006E285B" w:rsidRPr="00CB0C5E" w:rsidRDefault="006E285B" w:rsidP="00A02A1A">
      <w:pPr>
        <w:pStyle w:val="Breakpage"/>
      </w:pPr>
    </w:p>
    <w:p w:rsidR="006E285B" w:rsidRPr="00CB0C5E" w:rsidRDefault="006E285B" w:rsidP="00A02A1A">
      <w:pPr>
        <w:pStyle w:val="Breakpage"/>
      </w:pPr>
      <w:r w:rsidRPr="00CB0C5E">
        <w:t>Delegation</w:t>
      </w:r>
    </w:p>
    <w:p w:rsidR="004059E1" w:rsidRPr="00CB0C5E" w:rsidRDefault="004059E1" w:rsidP="00A02A1A">
      <w:pPr>
        <w:pStyle w:val="Breakpage"/>
      </w:pPr>
    </w:p>
    <w:p w:rsidR="004059E1" w:rsidRPr="00CB0C5E" w:rsidRDefault="004059E1" w:rsidP="00A02A1A">
      <w:pPr>
        <w:pStyle w:val="Breakpage"/>
        <w:sectPr w:rsidR="004059E1" w:rsidRPr="00CB0C5E" w:rsidSect="00744802">
          <w:headerReference w:type="even" r:id="rId8"/>
          <w:footerReference w:type="even" r:id="rId9"/>
          <w:headerReference w:type="first" r:id="rId10"/>
          <w:footerReference w:type="first" r:id="rId11"/>
          <w:pgSz w:w="12240" w:h="15840" w:code="1"/>
          <w:pgMar w:top="1080" w:right="1440" w:bottom="1080" w:left="1440" w:header="720" w:footer="720" w:gutter="0"/>
          <w:pgNumType w:start="367"/>
          <w:cols w:space="720"/>
        </w:sectPr>
      </w:pPr>
    </w:p>
    <w:p w:rsidR="006E285B" w:rsidRPr="00CB0C5E" w:rsidRDefault="006E285B">
      <w:pPr>
        <w:pStyle w:val="Date"/>
        <w:sectPr w:rsidR="006E285B" w:rsidRPr="00CB0C5E" w:rsidSect="00744802">
          <w:headerReference w:type="even" r:id="rId12"/>
          <w:headerReference w:type="default" r:id="rId13"/>
          <w:footerReference w:type="even" r:id="rId14"/>
          <w:pgSz w:w="12240" w:h="15840" w:code="1"/>
          <w:pgMar w:top="1080" w:right="1440" w:bottom="1080" w:left="1440" w:header="720" w:footer="720" w:gutter="0"/>
          <w:pgNumType w:start="2"/>
          <w:cols w:space="720"/>
        </w:sectPr>
      </w:pPr>
    </w:p>
    <w:p w:rsidR="006E285B" w:rsidRPr="00CB0C5E" w:rsidRDefault="006E285B">
      <w:pPr>
        <w:pStyle w:val="Heading1"/>
        <w:spacing w:before="0" w:after="0"/>
        <w:jc w:val="center"/>
        <w:rPr>
          <w:sz w:val="32"/>
        </w:rPr>
      </w:pPr>
      <w:r w:rsidRPr="00CB0C5E">
        <w:rPr>
          <w:sz w:val="32"/>
        </w:rPr>
        <w:lastRenderedPageBreak/>
        <w:t xml:space="preserve">APPENDIX </w:t>
      </w:r>
      <w:r w:rsidR="00884B30" w:rsidRPr="00CB0C5E">
        <w:rPr>
          <w:sz w:val="32"/>
        </w:rPr>
        <w:t>5</w:t>
      </w:r>
    </w:p>
    <w:p w:rsidR="006E285B" w:rsidRPr="00CB0C5E" w:rsidRDefault="006E285B" w:rsidP="00FC1E09">
      <w:pPr>
        <w:pStyle w:val="Heading2"/>
        <w:spacing w:before="120" w:after="0"/>
        <w:rPr>
          <w:i w:val="0"/>
        </w:rPr>
      </w:pPr>
      <w:r w:rsidRPr="00CB0C5E">
        <w:rPr>
          <w:i w:val="0"/>
        </w:rPr>
        <w:t>DELEGATION</w:t>
      </w:r>
    </w:p>
    <w:p w:rsidR="00EF0D7B" w:rsidRPr="00CB0C5E" w:rsidRDefault="00EF0D7B" w:rsidP="00EA45B7">
      <w:pPr>
        <w:pStyle w:val="StdHead"/>
        <w:rPr>
          <w:szCs w:val="22"/>
        </w:rPr>
      </w:pPr>
      <w:r w:rsidRPr="00CB0C5E">
        <w:rPr>
          <w:noProof/>
          <w:szCs w:val="22"/>
        </w:rPr>
        <w:t xml:space="preserve">Summary </w:t>
      </w:r>
      <w:r w:rsidR="00FC1E09" w:rsidRPr="00CB0C5E">
        <w:rPr>
          <w:noProof/>
          <w:szCs w:val="22"/>
        </w:rPr>
        <w:t>o</w:t>
      </w:r>
      <w:r w:rsidRPr="00CB0C5E">
        <w:rPr>
          <w:noProof/>
          <w:szCs w:val="22"/>
        </w:rPr>
        <w:t>f Changes</w:t>
      </w:r>
    </w:p>
    <w:p w:rsidR="00164946" w:rsidRDefault="007F09C5" w:rsidP="00A547F3">
      <w:pPr>
        <w:pStyle w:val="ProcessBullet"/>
        <w:spacing w:before="100"/>
      </w:pPr>
      <w:r>
        <w:t xml:space="preserve">Reordered </w:t>
      </w:r>
      <w:r w:rsidR="00CB64EB">
        <w:t>QI 7 element letters</w:t>
      </w:r>
      <w:r w:rsidR="00164946" w:rsidRPr="00CB0C5E">
        <w:t xml:space="preserve"> in the lists under </w:t>
      </w:r>
      <w:r w:rsidR="00164946" w:rsidRPr="00CB0C5E">
        <w:rPr>
          <w:i/>
        </w:rPr>
        <w:t xml:space="preserve">File Review </w:t>
      </w:r>
      <w:r w:rsidR="00164946" w:rsidRPr="00CB0C5E">
        <w:t xml:space="preserve">to </w:t>
      </w:r>
      <w:r w:rsidR="00491789" w:rsidRPr="00CB0C5E">
        <w:t>align with</w:t>
      </w:r>
      <w:r w:rsidR="00CB64EB">
        <w:t xml:space="preserve"> changes in </w:t>
      </w:r>
      <w:r>
        <w:t xml:space="preserve">the </w:t>
      </w:r>
      <w:r w:rsidR="00CB64EB">
        <w:t>2014</w:t>
      </w:r>
      <w:r w:rsidR="00164946" w:rsidRPr="00CB0C5E">
        <w:t xml:space="preserve"> </w:t>
      </w:r>
      <w:r w:rsidR="00164946" w:rsidRPr="00CB0C5E">
        <w:rPr>
          <w:i/>
        </w:rPr>
        <w:t>Standards and Guidelines</w:t>
      </w:r>
      <w:r w:rsidR="00164946" w:rsidRPr="00CB0C5E">
        <w:t>.</w:t>
      </w:r>
    </w:p>
    <w:p w:rsidR="00414A0A" w:rsidRDefault="00176A38" w:rsidP="00176A38">
      <w:pPr>
        <w:pStyle w:val="ProcessBullet"/>
        <w:spacing w:before="60"/>
      </w:pPr>
      <w:r>
        <w:t>Clarified</w:t>
      </w:r>
      <w:r w:rsidR="00414A0A">
        <w:t xml:space="preserve"> adoption of the delegate</w:t>
      </w:r>
      <w:r w:rsidR="007E6C70">
        <w:t>’</w:t>
      </w:r>
      <w:r w:rsidR="00414A0A">
        <w:t>s documentation to meet structural standards.</w:t>
      </w:r>
    </w:p>
    <w:p w:rsidR="00032F21" w:rsidRDefault="00176A38" w:rsidP="00176A38">
      <w:pPr>
        <w:pStyle w:val="ProcessBullet"/>
        <w:spacing w:before="60"/>
      </w:pPr>
      <w:r>
        <w:t>C</w:t>
      </w:r>
      <w:r w:rsidR="00032F21">
        <w:t>larifi</w:t>
      </w:r>
      <w:r w:rsidR="00704B65">
        <w:t>ed</w:t>
      </w:r>
      <w:r w:rsidR="00032F21">
        <w:t xml:space="preserve"> </w:t>
      </w:r>
      <w:r>
        <w:t>requirements of</w:t>
      </w:r>
      <w:r w:rsidR="00032F21">
        <w:t xml:space="preserve"> the written agreement.</w:t>
      </w:r>
    </w:p>
    <w:p w:rsidR="009D1CC3" w:rsidRDefault="009D1CC3" w:rsidP="009D1CC3">
      <w:pPr>
        <w:pStyle w:val="ProcessBullet"/>
      </w:pPr>
      <w:r>
        <w:t xml:space="preserve">Corrected RR 1 to </w:t>
      </w:r>
      <w:r w:rsidRPr="009D1CC3">
        <w:t>RR 1, Element A: Rights and Responsibilities Statement</w:t>
      </w:r>
      <w:r>
        <w:t xml:space="preserve"> (11.18.13).</w:t>
      </w:r>
    </w:p>
    <w:p w:rsidR="009D1CC3" w:rsidRDefault="009D1CC3" w:rsidP="009D1CC3">
      <w:pPr>
        <w:pStyle w:val="ProcessBullet"/>
      </w:pPr>
      <w:r w:rsidRPr="009D1CC3">
        <w:t>Revised the timing of selection of delegates and that the review of delegation is completed off-site</w:t>
      </w:r>
      <w:r>
        <w:t xml:space="preserve"> (11.18.13)</w:t>
      </w:r>
      <w:r w:rsidRPr="009D1CC3">
        <w:t>.</w:t>
      </w:r>
    </w:p>
    <w:p w:rsidR="00912929" w:rsidRPr="00CB0C5E" w:rsidRDefault="00912929" w:rsidP="00912929">
      <w:pPr>
        <w:pStyle w:val="ProcessBullet"/>
      </w:pPr>
      <w:r w:rsidRPr="002B2D17">
        <w:t>Clarified that UM 1</w:t>
      </w:r>
      <w:r>
        <w:t>1</w:t>
      </w:r>
      <w:r w:rsidRPr="002B2D17">
        <w:t xml:space="preserve"> Element A</w:t>
      </w:r>
      <w:r>
        <w:t>,</w:t>
      </w:r>
      <w:r w:rsidRPr="002B2D17">
        <w:t xml:space="preserve"> fa</w:t>
      </w:r>
      <w:r>
        <w:t>ctor</w:t>
      </w:r>
      <w:r>
        <w:t>s 3, 4 may not be delegated (11.17.</w:t>
      </w:r>
      <w:r>
        <w:t>14).</w:t>
      </w:r>
    </w:p>
    <w:p w:rsidR="006E285B" w:rsidRPr="00CB0C5E" w:rsidRDefault="006E285B">
      <w:pPr>
        <w:pStyle w:val="StdHead"/>
      </w:pPr>
      <w:r w:rsidRPr="00CB0C5E">
        <w:t>What Is Delegation?</w:t>
      </w:r>
    </w:p>
    <w:p w:rsidR="00A54EA9" w:rsidRPr="00CB0C5E" w:rsidRDefault="00A54EA9" w:rsidP="008B424C">
      <w:pPr>
        <w:pStyle w:val="Body"/>
        <w:spacing w:line="240" w:lineRule="exact"/>
      </w:pPr>
      <w:r w:rsidRPr="00CB0C5E">
        <w:rPr>
          <w:b/>
        </w:rPr>
        <w:t>Delegation</w:t>
      </w:r>
      <w:r w:rsidRPr="00CB0C5E">
        <w:t xml:space="preserve"> occurs when an organization gives another entity the authority to carry out a function that it would otherwise perform. In general, when an organization being reviewed for NCQA Accreditation or NCQA Certification delegates to another organization in order to meet NCQA standards, NCQA requires that the organization under review conduct specific oversight activities of the delegate. NCQA reviews the organization</w:t>
      </w:r>
      <w:r w:rsidR="007E6C70">
        <w:t>’</w:t>
      </w:r>
      <w:r w:rsidRPr="00CB0C5E">
        <w:t xml:space="preserve">s documentation to confirm that these oversight activities are performed according to the standards. </w:t>
      </w:r>
    </w:p>
    <w:p w:rsidR="00FD7DBB" w:rsidRPr="00CB0C5E" w:rsidRDefault="00823EBA" w:rsidP="00FD7DBB">
      <w:pPr>
        <w:pStyle w:val="StdHead"/>
      </w:pPr>
      <w:r w:rsidRPr="00CB0C5E">
        <w:t>Corporate Families</w:t>
      </w:r>
    </w:p>
    <w:p w:rsidR="00F31BE8" w:rsidRPr="00CB0C5E" w:rsidRDefault="00F31BE8" w:rsidP="008B424C">
      <w:pPr>
        <w:pStyle w:val="Body"/>
        <w:tabs>
          <w:tab w:val="left" w:pos="2185"/>
        </w:tabs>
      </w:pPr>
      <w:r w:rsidRPr="00CB0C5E">
        <w:t xml:space="preserve">Corporate families present a unique challenge for evaluating functions performed within the purview of the organization. NCQA does not consider an activity to be delegated if it is performed by </w:t>
      </w:r>
      <w:r w:rsidR="007F09C5">
        <w:t xml:space="preserve">an affiliated </w:t>
      </w:r>
      <w:r w:rsidR="00D17BC3">
        <w:t xml:space="preserve">entity </w:t>
      </w:r>
      <w:r w:rsidR="00D17BC3" w:rsidRPr="00CB0C5E">
        <w:t>in</w:t>
      </w:r>
      <w:r w:rsidRPr="00CB0C5E">
        <w:t xml:space="preserve"> the corporate family, if the organization being reviewed shares common ownership or control with the organization performing the activity. The concepts of common ownership and control are based on the for-profit model and the not-for-profit model, as described below.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80" w:type="dxa"/>
          <w:right w:w="180" w:type="dxa"/>
        </w:tblCellMar>
        <w:tblLook w:val="0000" w:firstRow="0" w:lastRow="0" w:firstColumn="0" w:lastColumn="0" w:noHBand="0" w:noVBand="0"/>
      </w:tblPr>
      <w:tblGrid>
        <w:gridCol w:w="1915"/>
        <w:gridCol w:w="90"/>
        <w:gridCol w:w="7470"/>
      </w:tblGrid>
      <w:tr w:rsidR="00EA45B7" w:rsidRPr="00CB0C5E" w:rsidTr="00F1398E">
        <w:tc>
          <w:tcPr>
            <w:tcW w:w="1915" w:type="dxa"/>
            <w:tcBorders>
              <w:top w:val="nil"/>
              <w:left w:val="nil"/>
              <w:bottom w:val="nil"/>
              <w:right w:val="nil"/>
            </w:tcBorders>
            <w:tcMar>
              <w:left w:w="115" w:type="dxa"/>
              <w:right w:w="115" w:type="dxa"/>
            </w:tcMar>
          </w:tcPr>
          <w:p w:rsidR="00EA45B7" w:rsidRPr="00CB0C5E" w:rsidRDefault="00EA45B7" w:rsidP="00F1398E">
            <w:pPr>
              <w:pStyle w:val="MarginSubhead"/>
              <w:ind w:left="0"/>
              <w:jc w:val="right"/>
              <w:rPr>
                <w:i/>
              </w:rPr>
            </w:pPr>
            <w:r w:rsidRPr="00CB0C5E">
              <w:rPr>
                <w:i/>
              </w:rPr>
              <w:t>For-profit model</w:t>
            </w:r>
          </w:p>
        </w:tc>
        <w:tc>
          <w:tcPr>
            <w:tcW w:w="7560" w:type="dxa"/>
            <w:gridSpan w:val="2"/>
            <w:tcBorders>
              <w:top w:val="nil"/>
              <w:left w:val="nil"/>
              <w:bottom w:val="nil"/>
              <w:right w:val="nil"/>
            </w:tcBorders>
            <w:tcMar>
              <w:left w:w="115" w:type="dxa"/>
              <w:right w:w="115" w:type="dxa"/>
            </w:tcMar>
          </w:tcPr>
          <w:p w:rsidR="00EA45B7" w:rsidRPr="00CB0C5E" w:rsidRDefault="00EA45B7" w:rsidP="007F09C5">
            <w:pPr>
              <w:pStyle w:val="Body"/>
            </w:pPr>
            <w:r w:rsidRPr="00CB0C5E">
              <w:t>In the for-profit model, a parent corporation has control over wholly owned subsidiaries</w:t>
            </w:r>
            <w:r w:rsidR="008B424C" w:rsidRPr="00CB0C5E">
              <w:t>; hence,</w:t>
            </w:r>
            <w:r w:rsidRPr="00CB0C5E">
              <w:t xml:space="preserve"> NCQA does not consider activities performed by the subsidiary, parent or a wholly owned </w:t>
            </w:r>
            <w:r w:rsidR="007F09C5">
              <w:t xml:space="preserve">affiliated entity in the corporate family </w:t>
            </w:r>
            <w:r w:rsidRPr="00CB0C5E">
              <w:t>to be delegation</w:t>
            </w:r>
            <w:r w:rsidR="008B424C" w:rsidRPr="00CB0C5E">
              <w:t>. However, a</w:t>
            </w:r>
            <w:r w:rsidRPr="00CB0C5E">
              <w:t>ctivities performed by partial owners within corporate families are considered delegation.</w:t>
            </w:r>
          </w:p>
        </w:tc>
      </w:tr>
      <w:tr w:rsidR="00EF03C7" w:rsidRPr="00CB0C5E" w:rsidTr="00F1398E">
        <w:trPr>
          <w:trHeight w:val="3565"/>
        </w:trPr>
        <w:tc>
          <w:tcPr>
            <w:tcW w:w="1915" w:type="dxa"/>
            <w:tcBorders>
              <w:top w:val="nil"/>
              <w:left w:val="nil"/>
              <w:bottom w:val="nil"/>
              <w:right w:val="nil"/>
            </w:tcBorders>
            <w:tcMar>
              <w:left w:w="115" w:type="dxa"/>
              <w:right w:w="115" w:type="dxa"/>
            </w:tcMar>
          </w:tcPr>
          <w:p w:rsidR="00EF03C7" w:rsidRPr="00CB0C5E" w:rsidRDefault="00EF03C7" w:rsidP="00F1398E">
            <w:pPr>
              <w:pStyle w:val="MarginSubhead"/>
              <w:ind w:left="0"/>
              <w:jc w:val="right"/>
              <w:rPr>
                <w:i/>
              </w:rPr>
            </w:pPr>
            <w:r w:rsidRPr="00CB0C5E">
              <w:rPr>
                <w:i/>
              </w:rPr>
              <w:lastRenderedPageBreak/>
              <w:t>Not-for-profit model</w:t>
            </w:r>
          </w:p>
        </w:tc>
        <w:tc>
          <w:tcPr>
            <w:tcW w:w="7560" w:type="dxa"/>
            <w:gridSpan w:val="2"/>
            <w:tcBorders>
              <w:top w:val="nil"/>
              <w:left w:val="nil"/>
              <w:bottom w:val="nil"/>
              <w:right w:val="nil"/>
            </w:tcBorders>
            <w:tcMar>
              <w:left w:w="115" w:type="dxa"/>
              <w:right w:w="115" w:type="dxa"/>
            </w:tcMar>
          </w:tcPr>
          <w:p w:rsidR="00EF03C7" w:rsidRPr="00CB0C5E" w:rsidRDefault="00EF03C7" w:rsidP="00EF03C7">
            <w:pPr>
              <w:pStyle w:val="Body"/>
            </w:pPr>
            <w:r w:rsidRPr="00CB0C5E">
              <w:t xml:space="preserve">A not-for-profit corporation does not own other not-for-profit corporations in the conventional sense (i.e., ownership of stock or assets). By definition, a not-for-profit corporation does not have stock or assets; it controls related not-for-profits through a membership agreement or other governance structure that details the relationship among the organizations, particularly with respect to control. The concept of </w:t>
            </w:r>
            <w:r>
              <w:t>“</w:t>
            </w:r>
            <w:r w:rsidRPr="00CB0C5E">
              <w:t>control</w:t>
            </w:r>
            <w:r>
              <w:t>”</w:t>
            </w:r>
            <w:r w:rsidRPr="00CB0C5E">
              <w:t xml:space="preserve"> in the not-for-profit model is akin to the </w:t>
            </w:r>
            <w:r>
              <w:t>“</w:t>
            </w:r>
            <w:r w:rsidRPr="00CB0C5E">
              <w:t>wholly owned</w:t>
            </w:r>
            <w:r>
              <w:t>”</w:t>
            </w:r>
            <w:r w:rsidRPr="00CB0C5E">
              <w:t xml:space="preserve"> concept in the for-profit model. In this instance, the not-for-profit parent controls the other not-for-profit companies through membership agreements and governance structures.  </w:t>
            </w:r>
          </w:p>
          <w:p w:rsidR="00EF03C7" w:rsidRPr="00CB0C5E" w:rsidRDefault="00EF03C7" w:rsidP="00EF03C7">
            <w:pPr>
              <w:pStyle w:val="Body"/>
            </w:pPr>
            <w:r w:rsidRPr="00CB0C5E">
              <w:t xml:space="preserve">NCQA does not consider activities performed by a not-for-profit company that controls, is controlled by, or is under common control with the organization to be delegation; however, activities performed by other affiliated companies that do not share common control (i.e., are not controlled by a single parent) </w:t>
            </w:r>
            <w:r>
              <w:t>are considered</w:t>
            </w:r>
            <w:r w:rsidRPr="00CB0C5E">
              <w:t xml:space="preserve"> delegation.</w:t>
            </w:r>
          </w:p>
        </w:tc>
      </w:tr>
      <w:tr w:rsidR="008B424C" w:rsidRPr="00CB0C5E" w:rsidTr="00F1398E">
        <w:tc>
          <w:tcPr>
            <w:tcW w:w="2005" w:type="dxa"/>
            <w:gridSpan w:val="2"/>
            <w:tcBorders>
              <w:top w:val="nil"/>
              <w:left w:val="nil"/>
              <w:bottom w:val="nil"/>
              <w:right w:val="nil"/>
            </w:tcBorders>
            <w:tcMar>
              <w:left w:w="115" w:type="dxa"/>
              <w:right w:w="115" w:type="dxa"/>
            </w:tcMar>
          </w:tcPr>
          <w:p w:rsidR="008B424C" w:rsidRPr="00CB0C5E" w:rsidRDefault="008B424C" w:rsidP="00F1398E">
            <w:pPr>
              <w:pStyle w:val="MarginSubhead"/>
              <w:spacing w:before="0"/>
            </w:pPr>
            <w:r w:rsidRPr="00CB0C5E">
              <w:t>Documentation</w:t>
            </w:r>
          </w:p>
        </w:tc>
        <w:tc>
          <w:tcPr>
            <w:tcW w:w="7470" w:type="dxa"/>
            <w:tcBorders>
              <w:top w:val="nil"/>
              <w:left w:val="nil"/>
              <w:bottom w:val="nil"/>
              <w:right w:val="nil"/>
            </w:tcBorders>
            <w:tcMar>
              <w:left w:w="115" w:type="dxa"/>
              <w:right w:w="115" w:type="dxa"/>
            </w:tcMar>
          </w:tcPr>
          <w:p w:rsidR="008B424C" w:rsidRPr="00CB0C5E" w:rsidRDefault="008B424C" w:rsidP="00EF03C7">
            <w:pPr>
              <w:pStyle w:val="Body"/>
              <w:spacing w:before="0"/>
            </w:pPr>
            <w:r w:rsidRPr="00CB0C5E">
              <w:t xml:space="preserve">When an organization that shares common ownership or control with the organization being reviewed performs </w:t>
            </w:r>
            <w:r w:rsidR="00E52F8D" w:rsidRPr="00CB0C5E">
              <w:t xml:space="preserve">activities required by </w:t>
            </w:r>
            <w:r w:rsidRPr="00CB0C5E">
              <w:t xml:space="preserve">NCQA, there must be written acknowledgment or an official document </w:t>
            </w:r>
            <w:r w:rsidR="00BD2C97" w:rsidRPr="00CB0C5E">
              <w:t>specifying the</w:t>
            </w:r>
            <w:r w:rsidRPr="00CB0C5E">
              <w:t xml:space="preserve"> NCQA requirements that each </w:t>
            </w:r>
            <w:r w:rsidR="00E52F8D" w:rsidRPr="00CB0C5E">
              <w:t>entity performs</w:t>
            </w:r>
            <w:r w:rsidRPr="00CB0C5E">
              <w:t xml:space="preserve">, but NCQA does not require documentation of oversight </w:t>
            </w:r>
            <w:r w:rsidR="00E52F8D" w:rsidRPr="00CB0C5E">
              <w:t>(</w:t>
            </w:r>
            <w:r w:rsidRPr="00CB0C5E">
              <w:t xml:space="preserve">as </w:t>
            </w:r>
            <w:r w:rsidR="00E52F8D" w:rsidRPr="00CB0C5E">
              <w:t>it does for delegation)</w:t>
            </w:r>
            <w:r w:rsidRPr="00CB0C5E">
              <w:t>. NCQA accepts and evaluates documentation, including procedural or structural components of the standards and guidelines, from the member of the corporate family that perform</w:t>
            </w:r>
            <w:r w:rsidR="00E52F8D" w:rsidRPr="00CB0C5E">
              <w:t>s</w:t>
            </w:r>
            <w:r w:rsidRPr="00CB0C5E">
              <w:t xml:space="preserve"> the activity. If the commonly controlled or owned organization that perform</w:t>
            </w:r>
            <w:r w:rsidR="00E52F8D" w:rsidRPr="00CB0C5E">
              <w:t>s</w:t>
            </w:r>
            <w:r w:rsidRPr="00CB0C5E">
              <w:t xml:space="preserve"> the activity is </w:t>
            </w:r>
            <w:r w:rsidR="00300AF0" w:rsidRPr="00CB0C5E">
              <w:t>NCQA Accredited or</w:t>
            </w:r>
            <w:r w:rsidRPr="00CB0C5E">
              <w:t xml:space="preserve"> NCQA</w:t>
            </w:r>
            <w:r w:rsidR="00E52F8D" w:rsidRPr="00CB0C5E">
              <w:t xml:space="preserve"> </w:t>
            </w:r>
            <w:r w:rsidRPr="00CB0C5E">
              <w:t>Certified, then the organization being reviewed may be eligible to receive automatic credit for specified activities</w:t>
            </w:r>
            <w:r w:rsidR="00D66F3A" w:rsidRPr="00CB0C5E">
              <w:t xml:space="preserve">. Refer to </w:t>
            </w:r>
            <w:r w:rsidRPr="00CB0C5E">
              <w:rPr>
                <w:i/>
              </w:rPr>
              <w:t>Automatic credit</w:t>
            </w:r>
            <w:r w:rsidRPr="00CB0C5E">
              <w:t>.</w:t>
            </w:r>
          </w:p>
          <w:p w:rsidR="008B424C" w:rsidRPr="00CB0C5E" w:rsidRDefault="008B424C" w:rsidP="00F31BE8">
            <w:pPr>
              <w:pStyle w:val="Body"/>
            </w:pPr>
            <w:r w:rsidRPr="00CB0C5E">
              <w:t xml:space="preserve">If the entity performing the activity is an affiliated entity in the corporate family but is not wholly owned or controlled by the same entity that owns or controls the organization being reviewed, then NCQA considers this to be delegation and all requirements </w:t>
            </w:r>
            <w:r w:rsidR="00E52F8D" w:rsidRPr="00CB0C5E">
              <w:t xml:space="preserve">contained in </w:t>
            </w:r>
            <w:r w:rsidRPr="00CB0C5E">
              <w:t xml:space="preserve">this </w:t>
            </w:r>
            <w:r w:rsidR="00E52F8D" w:rsidRPr="00CB0C5E">
              <w:t>a</w:t>
            </w:r>
            <w:r w:rsidRPr="00CB0C5E">
              <w:t xml:space="preserve">ppendix, including </w:t>
            </w:r>
            <w:r w:rsidR="00E52F8D" w:rsidRPr="00CB0C5E">
              <w:t xml:space="preserve">the requirement of </w:t>
            </w:r>
            <w:r w:rsidRPr="00CB0C5E">
              <w:t xml:space="preserve">oversight, must be met. </w:t>
            </w:r>
          </w:p>
        </w:tc>
      </w:tr>
    </w:tbl>
    <w:p w:rsidR="006C247A" w:rsidRPr="00CB0C5E" w:rsidRDefault="0063361D" w:rsidP="008B424C">
      <w:pPr>
        <w:pStyle w:val="SubHead"/>
      </w:pPr>
      <w:r w:rsidRPr="00CB0C5E">
        <w:t>Non</w:t>
      </w:r>
      <w:r w:rsidR="00CF0AE9" w:rsidRPr="00CB0C5E">
        <w:t>d</w:t>
      </w:r>
      <w:r w:rsidRPr="00CB0C5E">
        <w:t xml:space="preserve">elegation and </w:t>
      </w:r>
      <w:r w:rsidR="004F2C16" w:rsidRPr="00CB0C5E">
        <w:t>D</w:t>
      </w:r>
      <w:r w:rsidRPr="00CB0C5E">
        <w:t xml:space="preserve">elegation </w:t>
      </w:r>
      <w:r w:rsidR="00CF0AE9" w:rsidRPr="00CB0C5E">
        <w:t>f</w:t>
      </w:r>
      <w:r w:rsidR="00963BCD" w:rsidRPr="00CB0C5E">
        <w:t>or Corporate Families</w:t>
      </w:r>
    </w:p>
    <w:p w:rsidR="008B424C" w:rsidRPr="00CB0C5E" w:rsidRDefault="008B424C" w:rsidP="008B424C">
      <w:pPr>
        <w:pStyle w:val="Body"/>
      </w:pPr>
      <w:r w:rsidRPr="00CB0C5E">
        <w:t>In all cases—even when review of oversight is not conducted—</w:t>
      </w:r>
      <w:r w:rsidR="00EF03C7">
        <w:t>organizations</w:t>
      </w:r>
      <w:r w:rsidRPr="00CB0C5E">
        <w:t xml:space="preserve"> maintain a mutually agreed-upon document that s</w:t>
      </w:r>
      <w:r w:rsidR="00EF03C7">
        <w:t>pecifies</w:t>
      </w:r>
      <w:r w:rsidRPr="00CB0C5E">
        <w:t xml:space="preserve"> the functions </w:t>
      </w:r>
      <w:r w:rsidR="00EF03C7">
        <w:t xml:space="preserve">performed by </w:t>
      </w:r>
      <w:r w:rsidRPr="00CB0C5E">
        <w:t>the organization</w:t>
      </w:r>
      <w:r w:rsidR="00EF03C7">
        <w:t>,</w:t>
      </w:r>
      <w:r w:rsidRPr="00CB0C5E">
        <w:t xml:space="preserve"> by members of </w:t>
      </w:r>
      <w:r w:rsidR="00EF03C7">
        <w:t>the</w:t>
      </w:r>
      <w:r w:rsidRPr="00CB0C5E">
        <w:t xml:space="preserve"> corporate family and by all delegates and subdelegates</w:t>
      </w:r>
      <w:r w:rsidR="00CF0AE9" w:rsidRPr="00CB0C5E">
        <w:t>.</w:t>
      </w:r>
    </w:p>
    <w:p w:rsidR="003B24E4" w:rsidRPr="00CB0C5E" w:rsidRDefault="00912929" w:rsidP="008B424C">
      <w:pPr>
        <w:pStyle w:val="Body"/>
      </w:pPr>
      <w:r>
        <w:rPr>
          <w:noProof/>
        </w:rPr>
        <mc:AlternateContent>
          <mc:Choice Requires="wps">
            <w:drawing>
              <wp:anchor distT="0" distB="0" distL="114300" distR="114300" simplePos="0" relativeHeight="251657728" behindDoc="1" locked="0" layoutInCell="0" allowOverlap="0">
                <wp:simplePos x="0" y="0"/>
                <wp:positionH relativeFrom="page">
                  <wp:posOffset>5072380</wp:posOffset>
                </wp:positionH>
                <wp:positionV relativeFrom="page">
                  <wp:posOffset>6748145</wp:posOffset>
                </wp:positionV>
                <wp:extent cx="1844040" cy="2388870"/>
                <wp:effectExtent l="38100" t="38100" r="41910" b="3048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2388870"/>
                        </a:xfrm>
                        <a:prstGeom prst="rect">
                          <a:avLst/>
                        </a:prstGeom>
                        <a:noFill/>
                        <a:ln w="762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F61ED" w:rsidRPr="0082539B" w:rsidRDefault="00BF61ED" w:rsidP="003B24E4">
                            <w:pPr>
                              <w:pStyle w:val="Body"/>
                              <w:spacing w:before="0"/>
                              <w:jc w:val="center"/>
                              <w:rPr>
                                <w:b/>
                                <w:i/>
                              </w:rPr>
                            </w:pPr>
                            <w:r w:rsidRPr="0082539B">
                              <w:rPr>
                                <w:b/>
                                <w:i/>
                              </w:rPr>
                              <w:t>NOT</w:t>
                            </w:r>
                          </w:p>
                          <w:p w:rsidR="00BF61ED" w:rsidRPr="0082539B" w:rsidRDefault="00BF61ED" w:rsidP="003B24E4">
                            <w:pPr>
                              <w:pStyle w:val="Body"/>
                              <w:spacing w:before="0"/>
                              <w:jc w:val="center"/>
                              <w:rPr>
                                <w:b/>
                              </w:rPr>
                            </w:pPr>
                            <w:r w:rsidRPr="0082539B">
                              <w:rPr>
                                <w:b/>
                              </w:rPr>
                              <w:t>Delegation</w:t>
                            </w:r>
                          </w:p>
                          <w:p w:rsidR="00BF61ED" w:rsidRDefault="00BF61ED" w:rsidP="003B24E4">
                            <w:pPr>
                              <w:pStyle w:val="Body"/>
                              <w:spacing w:before="0"/>
                              <w:jc w:val="center"/>
                            </w:pPr>
                          </w:p>
                          <w:p w:rsidR="00BF61ED" w:rsidRDefault="00BF61ED" w:rsidP="003B24E4">
                            <w:pPr>
                              <w:pStyle w:val="Body"/>
                              <w:spacing w:before="0"/>
                              <w:jc w:val="center"/>
                            </w:pPr>
                            <w:r>
                              <w:t>Parent</w:t>
                            </w:r>
                          </w:p>
                          <w:p w:rsidR="00BF61ED" w:rsidRDefault="00BF61ED" w:rsidP="003B24E4">
                            <w:pPr>
                              <w:pStyle w:val="Body"/>
                              <w:spacing w:before="0"/>
                              <w:jc w:val="center"/>
                            </w:pPr>
                            <w:r>
                              <w:t>Corporation</w:t>
                            </w:r>
                          </w:p>
                          <w:p w:rsidR="00BF61ED" w:rsidRDefault="00BF61ED" w:rsidP="003B24E4">
                            <w:pPr>
                              <w:pStyle w:val="Body"/>
                              <w:spacing w:before="0"/>
                              <w:jc w:val="center"/>
                            </w:pPr>
                            <w:r>
                              <w:rPr>
                                <w:noProof/>
                              </w:rPr>
                              <w:drawing>
                                <wp:inline distT="0" distB="0" distL="0" distR="0">
                                  <wp:extent cx="114300" cy="742950"/>
                                  <wp:effectExtent l="0" t="0" r="0" b="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114300" cy="742950"/>
                                          </a:xfrm>
                                          <a:prstGeom prst="rect">
                                            <a:avLst/>
                                          </a:prstGeom>
                                          <a:noFill/>
                                          <a:ln w="9525">
                                            <a:noFill/>
                                            <a:miter lim="800000"/>
                                            <a:headEnd/>
                                            <a:tailEnd/>
                                          </a:ln>
                                        </pic:spPr>
                                      </pic:pic>
                                    </a:graphicData>
                                  </a:graphic>
                                </wp:inline>
                              </w:drawing>
                            </w:r>
                          </w:p>
                          <w:p w:rsidR="00BF61ED" w:rsidRDefault="00BF61ED" w:rsidP="003B24E4">
                            <w:pPr>
                              <w:pStyle w:val="Body"/>
                              <w:spacing w:before="0"/>
                              <w:jc w:val="center"/>
                            </w:pPr>
                            <w:r>
                              <w:t>Wholly Owned</w:t>
                            </w:r>
                          </w:p>
                          <w:p w:rsidR="00BF61ED" w:rsidRDefault="00BF61ED" w:rsidP="003B24E4">
                            <w:pPr>
                              <w:pStyle w:val="Body"/>
                              <w:spacing w:before="0"/>
                              <w:jc w:val="center"/>
                            </w:pPr>
                            <w:r>
                              <w:t>Subsidiary</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99.4pt;margin-top:531.35pt;width:145.2pt;height:188.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" o:allowincell="f" o:allowoverlap="f" filled="f" strokecolor="black [3213]" strokeweight="6pt">
                <v:stroke linestyle="thickThin"/>
                <v:textbox inset="10.8pt,7.2pt,10.8pt,7.2pt">
                  <w:txbxContent>
                    <w:p w:rsidR="00BF61ED" w:rsidRPr="0082539B" w:rsidRDefault="00BF61ED" w:rsidP="003B24E4">
                      <w:pPr>
                        <w:pStyle w:val="Body"/>
                        <w:spacing w:before="0"/>
                        <w:jc w:val="center"/>
                        <w:rPr>
                          <w:b/>
                          <w:i/>
                        </w:rPr>
                      </w:pPr>
                      <w:r w:rsidRPr="0082539B">
                        <w:rPr>
                          <w:b/>
                          <w:i/>
                        </w:rPr>
                        <w:t>NOT</w:t>
                      </w:r>
                    </w:p>
                    <w:p w:rsidR="00BF61ED" w:rsidRPr="0082539B" w:rsidRDefault="00BF61ED" w:rsidP="003B24E4">
                      <w:pPr>
                        <w:pStyle w:val="Body"/>
                        <w:spacing w:before="0"/>
                        <w:jc w:val="center"/>
                        <w:rPr>
                          <w:b/>
                        </w:rPr>
                      </w:pPr>
                      <w:r w:rsidRPr="0082539B">
                        <w:rPr>
                          <w:b/>
                        </w:rPr>
                        <w:t>Delegation</w:t>
                      </w:r>
                    </w:p>
                    <w:p w:rsidR="00BF61ED" w:rsidRDefault="00BF61ED" w:rsidP="003B24E4">
                      <w:pPr>
                        <w:pStyle w:val="Body"/>
                        <w:spacing w:before="0"/>
                        <w:jc w:val="center"/>
                      </w:pPr>
                    </w:p>
                    <w:p w:rsidR="00BF61ED" w:rsidRDefault="00BF61ED" w:rsidP="003B24E4">
                      <w:pPr>
                        <w:pStyle w:val="Body"/>
                        <w:spacing w:before="0"/>
                        <w:jc w:val="center"/>
                      </w:pPr>
                      <w:r>
                        <w:t>Parent</w:t>
                      </w:r>
                    </w:p>
                    <w:p w:rsidR="00BF61ED" w:rsidRDefault="00BF61ED" w:rsidP="003B24E4">
                      <w:pPr>
                        <w:pStyle w:val="Body"/>
                        <w:spacing w:before="0"/>
                        <w:jc w:val="center"/>
                      </w:pPr>
                      <w:r>
                        <w:t>Corporation</w:t>
                      </w:r>
                    </w:p>
                    <w:p w:rsidR="00BF61ED" w:rsidRDefault="00BF61ED" w:rsidP="003B24E4">
                      <w:pPr>
                        <w:pStyle w:val="Body"/>
                        <w:spacing w:before="0"/>
                        <w:jc w:val="center"/>
                      </w:pPr>
                      <w:r>
                        <w:rPr>
                          <w:noProof/>
                        </w:rPr>
                        <w:drawing>
                          <wp:inline distT="0" distB="0" distL="0" distR="0">
                            <wp:extent cx="114300" cy="742950"/>
                            <wp:effectExtent l="0" t="0" r="0" b="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114300" cy="742950"/>
                                    </a:xfrm>
                                    <a:prstGeom prst="rect">
                                      <a:avLst/>
                                    </a:prstGeom>
                                    <a:noFill/>
                                    <a:ln w="9525">
                                      <a:noFill/>
                                      <a:miter lim="800000"/>
                                      <a:headEnd/>
                                      <a:tailEnd/>
                                    </a:ln>
                                  </pic:spPr>
                                </pic:pic>
                              </a:graphicData>
                            </a:graphic>
                          </wp:inline>
                        </w:drawing>
                      </w:r>
                    </w:p>
                    <w:p w:rsidR="00BF61ED" w:rsidRDefault="00BF61ED" w:rsidP="003B24E4">
                      <w:pPr>
                        <w:pStyle w:val="Body"/>
                        <w:spacing w:before="0"/>
                        <w:jc w:val="center"/>
                      </w:pPr>
                      <w:r>
                        <w:t>Wholly Owned</w:t>
                      </w:r>
                    </w:p>
                    <w:p w:rsidR="00BF61ED" w:rsidRDefault="00BF61ED" w:rsidP="003B24E4">
                      <w:pPr>
                        <w:pStyle w:val="Body"/>
                        <w:spacing w:before="0"/>
                        <w:jc w:val="center"/>
                      </w:pPr>
                      <w:r>
                        <w:t>Subsidiary</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0">
                <wp:simplePos x="0" y="0"/>
                <wp:positionH relativeFrom="page">
                  <wp:posOffset>2977515</wp:posOffset>
                </wp:positionH>
                <wp:positionV relativeFrom="page">
                  <wp:posOffset>6737350</wp:posOffset>
                </wp:positionV>
                <wp:extent cx="1821180" cy="2357120"/>
                <wp:effectExtent l="38100" t="38100" r="45720" b="4318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357120"/>
                        </a:xfrm>
                        <a:prstGeom prst="rect">
                          <a:avLst/>
                        </a:prstGeom>
                        <a:noFill/>
                        <a:ln w="762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F61ED" w:rsidRPr="0082539B" w:rsidRDefault="00BF61ED" w:rsidP="003B24E4">
                            <w:pPr>
                              <w:pStyle w:val="Body"/>
                              <w:spacing w:before="0"/>
                              <w:jc w:val="center"/>
                              <w:rPr>
                                <w:b/>
                                <w:i/>
                              </w:rPr>
                            </w:pPr>
                            <w:r w:rsidRPr="0082539B">
                              <w:rPr>
                                <w:b/>
                                <w:i/>
                              </w:rPr>
                              <w:t>NOT</w:t>
                            </w:r>
                          </w:p>
                          <w:p w:rsidR="00BF61ED" w:rsidRPr="0082539B" w:rsidRDefault="00BF61ED" w:rsidP="003B24E4">
                            <w:pPr>
                              <w:pStyle w:val="Body"/>
                              <w:spacing w:before="0"/>
                              <w:jc w:val="center"/>
                              <w:rPr>
                                <w:b/>
                              </w:rPr>
                            </w:pPr>
                            <w:r w:rsidRPr="0082539B">
                              <w:rPr>
                                <w:b/>
                              </w:rPr>
                              <w:t>Delegation</w:t>
                            </w:r>
                          </w:p>
                          <w:p w:rsidR="00BF61ED" w:rsidRDefault="00BF61ED" w:rsidP="003B24E4">
                            <w:pPr>
                              <w:pStyle w:val="Body"/>
                              <w:spacing w:before="0"/>
                              <w:jc w:val="center"/>
                            </w:pPr>
                          </w:p>
                          <w:p w:rsidR="00BF61ED" w:rsidRDefault="00BF61ED" w:rsidP="003B24E4">
                            <w:pPr>
                              <w:pStyle w:val="Body"/>
                              <w:spacing w:before="0"/>
                              <w:jc w:val="center"/>
                            </w:pPr>
                            <w:r>
                              <w:t>Not-for-Profit</w:t>
                            </w:r>
                          </w:p>
                          <w:p w:rsidR="00BF61ED" w:rsidRDefault="00BF61ED" w:rsidP="003B24E4">
                            <w:pPr>
                              <w:pStyle w:val="Body"/>
                              <w:spacing w:before="0"/>
                              <w:jc w:val="center"/>
                            </w:pPr>
                            <w:r>
                              <w:t>Corporation</w:t>
                            </w:r>
                          </w:p>
                          <w:p w:rsidR="00BF61ED" w:rsidRDefault="00BF61ED" w:rsidP="003B24E4">
                            <w:pPr>
                              <w:pStyle w:val="Body"/>
                              <w:spacing w:before="0"/>
                              <w:jc w:val="center"/>
                            </w:pPr>
                            <w:r>
                              <w:rPr>
                                <w:noProof/>
                              </w:rPr>
                              <w:drawing>
                                <wp:inline distT="0" distB="0" distL="0" distR="0">
                                  <wp:extent cx="114300" cy="742950"/>
                                  <wp:effectExtent l="0" t="0" r="0"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114300" cy="742950"/>
                                          </a:xfrm>
                                          <a:prstGeom prst="rect">
                                            <a:avLst/>
                                          </a:prstGeom>
                                          <a:noFill/>
                                          <a:ln w="9525">
                                            <a:noFill/>
                                            <a:miter lim="800000"/>
                                            <a:headEnd/>
                                            <a:tailEnd/>
                                          </a:ln>
                                        </pic:spPr>
                                      </pic:pic>
                                    </a:graphicData>
                                  </a:graphic>
                                </wp:inline>
                              </w:drawing>
                            </w:r>
                          </w:p>
                          <w:p w:rsidR="00BF61ED" w:rsidRDefault="00BF61ED" w:rsidP="003B24E4">
                            <w:pPr>
                              <w:pStyle w:val="Body"/>
                              <w:spacing w:before="0"/>
                              <w:jc w:val="center"/>
                            </w:pPr>
                            <w:r>
                              <w:t>Sister Corporation</w:t>
                            </w:r>
                          </w:p>
                          <w:p w:rsidR="00BF61ED" w:rsidRDefault="00BF61ED" w:rsidP="003B24E4">
                            <w:pPr>
                              <w:jc w:val="center"/>
                            </w:pPr>
                            <w:r>
                              <w:t>Under Common Control</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7" o:spid="_x0000_s1027" type="#_x0000_t202" style="position:absolute;margin-left:234.45pt;margin-top:530.5pt;width:143.4pt;height:185.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" o:allowincell="f" o:allowoverlap="f" filled="f" strokecolor="black [3213]" strokeweight="6pt">
                <v:stroke linestyle="thickThin"/>
                <v:textbox inset="10.8pt,7.2pt,10.8pt,7.2pt">
                  <w:txbxContent>
                    <w:p w:rsidR="00BF61ED" w:rsidRPr="0082539B" w:rsidRDefault="00BF61ED" w:rsidP="003B24E4">
                      <w:pPr>
                        <w:pStyle w:val="Body"/>
                        <w:spacing w:before="0"/>
                        <w:jc w:val="center"/>
                        <w:rPr>
                          <w:b/>
                          <w:i/>
                        </w:rPr>
                      </w:pPr>
                      <w:r w:rsidRPr="0082539B">
                        <w:rPr>
                          <w:b/>
                          <w:i/>
                        </w:rPr>
                        <w:t>NOT</w:t>
                      </w:r>
                    </w:p>
                    <w:p w:rsidR="00BF61ED" w:rsidRPr="0082539B" w:rsidRDefault="00BF61ED" w:rsidP="003B24E4">
                      <w:pPr>
                        <w:pStyle w:val="Body"/>
                        <w:spacing w:before="0"/>
                        <w:jc w:val="center"/>
                        <w:rPr>
                          <w:b/>
                        </w:rPr>
                      </w:pPr>
                      <w:r w:rsidRPr="0082539B">
                        <w:rPr>
                          <w:b/>
                        </w:rPr>
                        <w:t>Delegation</w:t>
                      </w:r>
                    </w:p>
                    <w:p w:rsidR="00BF61ED" w:rsidRDefault="00BF61ED" w:rsidP="003B24E4">
                      <w:pPr>
                        <w:pStyle w:val="Body"/>
                        <w:spacing w:before="0"/>
                        <w:jc w:val="center"/>
                      </w:pPr>
                    </w:p>
                    <w:p w:rsidR="00BF61ED" w:rsidRDefault="00BF61ED" w:rsidP="003B24E4">
                      <w:pPr>
                        <w:pStyle w:val="Body"/>
                        <w:spacing w:before="0"/>
                        <w:jc w:val="center"/>
                      </w:pPr>
                      <w:r>
                        <w:t>Not-for-Profit</w:t>
                      </w:r>
                    </w:p>
                    <w:p w:rsidR="00BF61ED" w:rsidRDefault="00BF61ED" w:rsidP="003B24E4">
                      <w:pPr>
                        <w:pStyle w:val="Body"/>
                        <w:spacing w:before="0"/>
                        <w:jc w:val="center"/>
                      </w:pPr>
                      <w:r>
                        <w:t>Corporation</w:t>
                      </w:r>
                    </w:p>
                    <w:p w:rsidR="00BF61ED" w:rsidRDefault="00BF61ED" w:rsidP="003B24E4">
                      <w:pPr>
                        <w:pStyle w:val="Body"/>
                        <w:spacing w:before="0"/>
                        <w:jc w:val="center"/>
                      </w:pPr>
                      <w:r>
                        <w:rPr>
                          <w:noProof/>
                        </w:rPr>
                        <w:drawing>
                          <wp:inline distT="0" distB="0" distL="0" distR="0">
                            <wp:extent cx="114300" cy="742950"/>
                            <wp:effectExtent l="0" t="0" r="0"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114300" cy="742950"/>
                                    </a:xfrm>
                                    <a:prstGeom prst="rect">
                                      <a:avLst/>
                                    </a:prstGeom>
                                    <a:noFill/>
                                    <a:ln w="9525">
                                      <a:noFill/>
                                      <a:miter lim="800000"/>
                                      <a:headEnd/>
                                      <a:tailEnd/>
                                    </a:ln>
                                  </pic:spPr>
                                </pic:pic>
                              </a:graphicData>
                            </a:graphic>
                          </wp:inline>
                        </w:drawing>
                      </w:r>
                    </w:p>
                    <w:p w:rsidR="00BF61ED" w:rsidRDefault="00BF61ED" w:rsidP="003B24E4">
                      <w:pPr>
                        <w:pStyle w:val="Body"/>
                        <w:spacing w:before="0"/>
                        <w:jc w:val="center"/>
                      </w:pPr>
                      <w:r>
                        <w:t>Sister Corporation</w:t>
                      </w:r>
                    </w:p>
                    <w:p w:rsidR="00BF61ED" w:rsidRDefault="00BF61ED" w:rsidP="003B24E4">
                      <w:pPr>
                        <w:jc w:val="center"/>
                      </w:pPr>
                      <w:r>
                        <w:t>Under Common Control</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0" allowOverlap="0">
                <wp:simplePos x="0" y="0"/>
                <wp:positionH relativeFrom="page">
                  <wp:posOffset>985520</wp:posOffset>
                </wp:positionH>
                <wp:positionV relativeFrom="page">
                  <wp:posOffset>6737350</wp:posOffset>
                </wp:positionV>
                <wp:extent cx="1821180" cy="2357120"/>
                <wp:effectExtent l="38100" t="38100" r="45720" b="4318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357120"/>
                        </a:xfrm>
                        <a:prstGeom prst="rect">
                          <a:avLst/>
                        </a:prstGeom>
                        <a:noFill/>
                        <a:ln w="762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F61ED" w:rsidRPr="0082539B" w:rsidRDefault="00BF61ED" w:rsidP="003B24E4">
                            <w:pPr>
                              <w:pStyle w:val="Body"/>
                              <w:spacing w:before="0"/>
                              <w:jc w:val="center"/>
                              <w:rPr>
                                <w:b/>
                              </w:rPr>
                            </w:pPr>
                            <w:r w:rsidRPr="0082539B">
                              <w:rPr>
                                <w:b/>
                              </w:rPr>
                              <w:t>Delegation</w:t>
                            </w:r>
                          </w:p>
                          <w:p w:rsidR="00BF61ED" w:rsidRDefault="00BF61ED" w:rsidP="003B24E4">
                            <w:pPr>
                              <w:pStyle w:val="Body"/>
                              <w:spacing w:before="0"/>
                              <w:jc w:val="center"/>
                            </w:pPr>
                          </w:p>
                          <w:p w:rsidR="00BF61ED" w:rsidRDefault="00BF61ED" w:rsidP="003B24E4">
                            <w:pPr>
                              <w:pStyle w:val="Body"/>
                              <w:spacing w:before="0"/>
                              <w:jc w:val="center"/>
                            </w:pPr>
                            <w:r>
                              <w:t>Partial</w:t>
                            </w:r>
                          </w:p>
                          <w:p w:rsidR="00BF61ED" w:rsidRDefault="00BF61ED" w:rsidP="003B24E4">
                            <w:pPr>
                              <w:pStyle w:val="Body"/>
                              <w:spacing w:before="0"/>
                              <w:jc w:val="center"/>
                            </w:pPr>
                            <w:r>
                              <w:t>Owners</w:t>
                            </w:r>
                          </w:p>
                          <w:p w:rsidR="00BF61ED" w:rsidRDefault="00BF61ED" w:rsidP="003B24E4">
                            <w:pPr>
                              <w:pStyle w:val="Body"/>
                              <w:spacing w:before="0"/>
                              <w:jc w:val="center"/>
                            </w:pPr>
                            <w:r>
                              <w:rPr>
                                <w:noProof/>
                              </w:rPr>
                              <w:drawing>
                                <wp:inline distT="0" distB="0" distL="0" distR="0">
                                  <wp:extent cx="114300" cy="742950"/>
                                  <wp:effectExtent l="0" t="0" r="0"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14300" cy="742950"/>
                                          </a:xfrm>
                                          <a:prstGeom prst="rect">
                                            <a:avLst/>
                                          </a:prstGeom>
                                          <a:noFill/>
                                          <a:ln w="9525">
                                            <a:noFill/>
                                            <a:miter lim="800000"/>
                                            <a:headEnd/>
                                            <a:tailEnd/>
                                          </a:ln>
                                        </pic:spPr>
                                      </pic:pic>
                                    </a:graphicData>
                                  </a:graphic>
                                </wp:inline>
                              </w:drawing>
                            </w:r>
                          </w:p>
                          <w:p w:rsidR="00BF61ED" w:rsidRDefault="00BF61ED" w:rsidP="003B24E4">
                            <w:pPr>
                              <w:pStyle w:val="Body"/>
                              <w:spacing w:before="0"/>
                              <w:jc w:val="center"/>
                            </w:pPr>
                          </w:p>
                          <w:p w:rsidR="00BF61ED" w:rsidRDefault="00BF61ED" w:rsidP="003B24E4">
                            <w:pPr>
                              <w:pStyle w:val="Body"/>
                              <w:spacing w:before="0"/>
                              <w:jc w:val="center"/>
                            </w:pPr>
                            <w:r>
                              <w:t>Partially Owned</w:t>
                            </w:r>
                          </w:p>
                          <w:p w:rsidR="00BF61ED" w:rsidRDefault="00BF61ED" w:rsidP="003B24E4">
                            <w:pPr>
                              <w:pStyle w:val="Body"/>
                              <w:spacing w:before="0"/>
                              <w:jc w:val="center"/>
                              <w:rPr>
                                <w:sz w:val="23"/>
                              </w:rPr>
                            </w:pPr>
                            <w:r>
                              <w:t>Subsidiary</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8" o:spid="_x0000_s1028" type="#_x0000_t202" style="position:absolute;margin-left:77.6pt;margin-top:530.5pt;width:143.4pt;height:185.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" o:allowincell="f" o:allowoverlap="f" filled="f" strokecolor="black [3213]" strokeweight="6pt">
                <v:stroke linestyle="thickThin"/>
                <v:textbox inset="10.8pt,7.2pt,10.8pt,7.2pt">
                  <w:txbxContent>
                    <w:p w:rsidR="00BF61ED" w:rsidRPr="0082539B" w:rsidRDefault="00BF61ED" w:rsidP="003B24E4">
                      <w:pPr>
                        <w:pStyle w:val="Body"/>
                        <w:spacing w:before="0"/>
                        <w:jc w:val="center"/>
                        <w:rPr>
                          <w:b/>
                        </w:rPr>
                      </w:pPr>
                      <w:r w:rsidRPr="0082539B">
                        <w:rPr>
                          <w:b/>
                        </w:rPr>
                        <w:t>Delegation</w:t>
                      </w:r>
                    </w:p>
                    <w:p w:rsidR="00BF61ED" w:rsidRDefault="00BF61ED" w:rsidP="003B24E4">
                      <w:pPr>
                        <w:pStyle w:val="Body"/>
                        <w:spacing w:before="0"/>
                        <w:jc w:val="center"/>
                      </w:pPr>
                    </w:p>
                    <w:p w:rsidR="00BF61ED" w:rsidRDefault="00BF61ED" w:rsidP="003B24E4">
                      <w:pPr>
                        <w:pStyle w:val="Body"/>
                        <w:spacing w:before="0"/>
                        <w:jc w:val="center"/>
                      </w:pPr>
                      <w:r>
                        <w:t>Partial</w:t>
                      </w:r>
                    </w:p>
                    <w:p w:rsidR="00BF61ED" w:rsidRDefault="00BF61ED" w:rsidP="003B24E4">
                      <w:pPr>
                        <w:pStyle w:val="Body"/>
                        <w:spacing w:before="0"/>
                        <w:jc w:val="center"/>
                      </w:pPr>
                      <w:r>
                        <w:t>Owners</w:t>
                      </w:r>
                    </w:p>
                    <w:p w:rsidR="00BF61ED" w:rsidRDefault="00BF61ED" w:rsidP="003B24E4">
                      <w:pPr>
                        <w:pStyle w:val="Body"/>
                        <w:spacing w:before="0"/>
                        <w:jc w:val="center"/>
                      </w:pPr>
                      <w:r>
                        <w:rPr>
                          <w:noProof/>
                        </w:rPr>
                        <w:drawing>
                          <wp:inline distT="0" distB="0" distL="0" distR="0">
                            <wp:extent cx="114300" cy="742950"/>
                            <wp:effectExtent l="0" t="0" r="0"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14300" cy="742950"/>
                                    </a:xfrm>
                                    <a:prstGeom prst="rect">
                                      <a:avLst/>
                                    </a:prstGeom>
                                    <a:noFill/>
                                    <a:ln w="9525">
                                      <a:noFill/>
                                      <a:miter lim="800000"/>
                                      <a:headEnd/>
                                      <a:tailEnd/>
                                    </a:ln>
                                  </pic:spPr>
                                </pic:pic>
                              </a:graphicData>
                            </a:graphic>
                          </wp:inline>
                        </w:drawing>
                      </w:r>
                    </w:p>
                    <w:p w:rsidR="00BF61ED" w:rsidRDefault="00BF61ED" w:rsidP="003B24E4">
                      <w:pPr>
                        <w:pStyle w:val="Body"/>
                        <w:spacing w:before="0"/>
                        <w:jc w:val="center"/>
                      </w:pPr>
                    </w:p>
                    <w:p w:rsidR="00BF61ED" w:rsidRDefault="00BF61ED" w:rsidP="003B24E4">
                      <w:pPr>
                        <w:pStyle w:val="Body"/>
                        <w:spacing w:before="0"/>
                        <w:jc w:val="center"/>
                      </w:pPr>
                      <w:r>
                        <w:t>Partially Owned</w:t>
                      </w:r>
                    </w:p>
                    <w:p w:rsidR="00BF61ED" w:rsidRDefault="00BF61ED" w:rsidP="003B24E4">
                      <w:pPr>
                        <w:pStyle w:val="Body"/>
                        <w:spacing w:before="0"/>
                        <w:jc w:val="center"/>
                        <w:rPr>
                          <w:sz w:val="23"/>
                        </w:rPr>
                      </w:pPr>
                      <w:r>
                        <w:t>Subsidiary</w:t>
                      </w:r>
                    </w:p>
                  </w:txbxContent>
                </v:textbox>
                <w10:wrap anchorx="page" anchory="page"/>
              </v:shape>
            </w:pict>
          </mc:Fallback>
        </mc:AlternateContent>
      </w:r>
    </w:p>
    <w:p w:rsidR="003B24E4" w:rsidRPr="00CB0C5E" w:rsidRDefault="003B24E4" w:rsidP="008B424C">
      <w:pPr>
        <w:pStyle w:val="Body"/>
      </w:pPr>
    </w:p>
    <w:p w:rsidR="00D66F3A" w:rsidRPr="00CB0C5E" w:rsidRDefault="00D66F3A" w:rsidP="008B424C">
      <w:pPr>
        <w:pStyle w:val="Body"/>
      </w:pPr>
    </w:p>
    <w:p w:rsidR="003B24E4" w:rsidRDefault="003B24E4" w:rsidP="008B424C">
      <w:pPr>
        <w:pStyle w:val="Body"/>
      </w:pPr>
    </w:p>
    <w:p w:rsidR="00912929" w:rsidRDefault="00912929" w:rsidP="008B424C">
      <w:pPr>
        <w:pStyle w:val="Body"/>
      </w:pPr>
    </w:p>
    <w:p w:rsidR="00912929" w:rsidRDefault="00912929" w:rsidP="008B424C">
      <w:pPr>
        <w:pStyle w:val="Body"/>
      </w:pPr>
    </w:p>
    <w:p w:rsidR="00912929" w:rsidRDefault="00912929" w:rsidP="008B424C">
      <w:pPr>
        <w:pStyle w:val="Body"/>
      </w:pPr>
    </w:p>
    <w:p w:rsidR="00912929" w:rsidRDefault="00912929" w:rsidP="008B424C">
      <w:pPr>
        <w:pStyle w:val="Body"/>
      </w:pPr>
    </w:p>
    <w:p w:rsidR="00912929" w:rsidRDefault="00912929" w:rsidP="008B424C">
      <w:pPr>
        <w:pStyle w:val="Body"/>
      </w:pPr>
    </w:p>
    <w:p w:rsidR="00912929" w:rsidRDefault="00912929" w:rsidP="008B424C">
      <w:pPr>
        <w:pStyle w:val="Body"/>
      </w:pPr>
    </w:p>
    <w:p w:rsidR="00912929" w:rsidRPr="00CB0C5E" w:rsidRDefault="00912929" w:rsidP="008B424C">
      <w:pPr>
        <w:pStyle w:val="Body"/>
        <w:sectPr w:rsidR="00912929" w:rsidRPr="00CB0C5E" w:rsidSect="00EF03C7">
          <w:headerReference w:type="even" r:id="rId16"/>
          <w:headerReference w:type="default" r:id="rId17"/>
          <w:type w:val="evenPage"/>
          <w:pgSz w:w="12240" w:h="15840" w:code="1"/>
          <w:pgMar w:top="1080" w:right="1440" w:bottom="1080" w:left="1440" w:header="720" w:footer="720" w:gutter="0"/>
          <w:pgNumType w:start="1"/>
          <w:cols w:space="72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80" w:type="dxa"/>
          <w:right w:w="180" w:type="dxa"/>
        </w:tblCellMar>
        <w:tblLook w:val="0000" w:firstRow="0" w:lastRow="0" w:firstColumn="0" w:lastColumn="0" w:noHBand="0" w:noVBand="0"/>
      </w:tblPr>
      <w:tblGrid>
        <w:gridCol w:w="2365"/>
        <w:gridCol w:w="7175"/>
      </w:tblGrid>
      <w:tr w:rsidR="00013C8B" w:rsidRPr="00CB0C5E" w:rsidTr="00011229">
        <w:tc>
          <w:tcPr>
            <w:tcW w:w="2365" w:type="dxa"/>
            <w:tcBorders>
              <w:top w:val="nil"/>
              <w:left w:val="nil"/>
              <w:bottom w:val="nil"/>
              <w:right w:val="nil"/>
            </w:tcBorders>
            <w:tcMar>
              <w:left w:w="115" w:type="dxa"/>
              <w:right w:w="115" w:type="dxa"/>
            </w:tcMar>
          </w:tcPr>
          <w:p w:rsidR="00013C8B" w:rsidRPr="00CB0C5E" w:rsidRDefault="00013C8B" w:rsidP="00D66F3A">
            <w:pPr>
              <w:pStyle w:val="MarginSubhead"/>
              <w:spacing w:before="0"/>
            </w:pPr>
            <w:r w:rsidRPr="00CB0C5E">
              <w:lastRenderedPageBreak/>
              <w:t>Automatic credit</w:t>
            </w:r>
            <w:r w:rsidR="00137447" w:rsidRPr="00CB0C5E">
              <w:t xml:space="preserve"> for corporate families </w:t>
            </w:r>
          </w:p>
        </w:tc>
        <w:tc>
          <w:tcPr>
            <w:tcW w:w="7175" w:type="dxa"/>
            <w:tcBorders>
              <w:top w:val="nil"/>
              <w:left w:val="nil"/>
              <w:bottom w:val="nil"/>
              <w:right w:val="nil"/>
            </w:tcBorders>
            <w:tcMar>
              <w:left w:w="115" w:type="dxa"/>
              <w:right w:w="115" w:type="dxa"/>
            </w:tcMar>
          </w:tcPr>
          <w:p w:rsidR="00013C8B" w:rsidRPr="00CB0C5E" w:rsidRDefault="00013C8B" w:rsidP="00013C8B">
            <w:pPr>
              <w:pStyle w:val="Body"/>
              <w:spacing w:before="0"/>
              <w:rPr>
                <w:szCs w:val="20"/>
              </w:rPr>
            </w:pPr>
            <w:r w:rsidRPr="00CB0C5E">
              <w:rPr>
                <w:szCs w:val="20"/>
              </w:rPr>
              <w:t xml:space="preserve">Under certain conditions, NCQA offers automatic credit for select elements if the </w:t>
            </w:r>
            <w:r w:rsidR="00935E26" w:rsidRPr="00CB0C5E">
              <w:rPr>
                <w:szCs w:val="20"/>
              </w:rPr>
              <w:t>organization uses</w:t>
            </w:r>
            <w:r w:rsidRPr="00CB0C5E">
              <w:rPr>
                <w:szCs w:val="20"/>
              </w:rPr>
              <w:t xml:space="preserve"> an </w:t>
            </w:r>
            <w:r w:rsidR="00300AF0" w:rsidRPr="00CB0C5E">
              <w:rPr>
                <w:szCs w:val="20"/>
              </w:rPr>
              <w:t>NCQA Accredited or</w:t>
            </w:r>
            <w:r w:rsidRPr="00CB0C5E">
              <w:rPr>
                <w:szCs w:val="20"/>
              </w:rPr>
              <w:t xml:space="preserve"> NCQA Certified parent or wholly owned or controlled subsidiary or</w:t>
            </w:r>
            <w:r w:rsidR="00DD7B28">
              <w:rPr>
                <w:szCs w:val="20"/>
              </w:rPr>
              <w:t xml:space="preserve"> </w:t>
            </w:r>
            <w:r w:rsidR="007F09C5">
              <w:rPr>
                <w:szCs w:val="20"/>
              </w:rPr>
              <w:t>affiliated entity in the corporate family</w:t>
            </w:r>
            <w:r w:rsidRPr="00CB0C5E">
              <w:rPr>
                <w:szCs w:val="20"/>
              </w:rPr>
              <w:t>. The organization must meet the following crite</w:t>
            </w:r>
            <w:r w:rsidR="00A2551B" w:rsidRPr="00CB0C5E">
              <w:rPr>
                <w:szCs w:val="20"/>
              </w:rPr>
              <w:t>ria to receive automatic credit:</w:t>
            </w:r>
          </w:p>
          <w:p w:rsidR="00013C8B" w:rsidRPr="00CB0C5E" w:rsidRDefault="00013C8B" w:rsidP="00013C8B">
            <w:pPr>
              <w:pStyle w:val="Bullet"/>
              <w:rPr>
                <w:szCs w:val="20"/>
              </w:rPr>
            </w:pPr>
            <w:r w:rsidRPr="00CB0C5E">
              <w:rPr>
                <w:szCs w:val="20"/>
              </w:rPr>
              <w:t>A written acknowledgement between the two entities or an official document specifying responsibilities of each entity with respect to the reviewed function before the submission of the Survey Tool</w:t>
            </w:r>
            <w:r w:rsidR="00CF0AE9" w:rsidRPr="00CB0C5E">
              <w:rPr>
                <w:szCs w:val="20"/>
              </w:rPr>
              <w:t>.</w:t>
            </w:r>
          </w:p>
          <w:p w:rsidR="00013C8B" w:rsidRPr="00CB0C5E" w:rsidRDefault="00013C8B" w:rsidP="00013C8B">
            <w:pPr>
              <w:pStyle w:val="Bullet"/>
              <w:rPr>
                <w:szCs w:val="20"/>
              </w:rPr>
            </w:pPr>
            <w:r w:rsidRPr="00CB0C5E">
              <w:rPr>
                <w:szCs w:val="20"/>
              </w:rPr>
              <w:t xml:space="preserve">The parent or wholly owned or controlled subsidiary or </w:t>
            </w:r>
            <w:r w:rsidR="001843CE">
              <w:rPr>
                <w:szCs w:val="20"/>
              </w:rPr>
              <w:t>affiliated entity in the corporate family</w:t>
            </w:r>
            <w:r w:rsidR="00DD7B28">
              <w:rPr>
                <w:szCs w:val="20"/>
              </w:rPr>
              <w:t xml:space="preserve"> </w:t>
            </w:r>
            <w:r w:rsidRPr="00CB0C5E">
              <w:rPr>
                <w:szCs w:val="20"/>
              </w:rPr>
              <w:t xml:space="preserve">performing the function, must be </w:t>
            </w:r>
            <w:r w:rsidR="00300AF0" w:rsidRPr="00CB0C5E">
              <w:rPr>
                <w:szCs w:val="20"/>
              </w:rPr>
              <w:t>NCQA Accredited or</w:t>
            </w:r>
            <w:r w:rsidRPr="00CB0C5E">
              <w:rPr>
                <w:szCs w:val="20"/>
              </w:rPr>
              <w:t xml:space="preserve"> </w:t>
            </w:r>
            <w:r w:rsidR="007329DA" w:rsidRPr="00CB0C5E">
              <w:rPr>
                <w:szCs w:val="20"/>
              </w:rPr>
              <w:t>NCQA-Certified o</w:t>
            </w:r>
            <w:r w:rsidRPr="00CB0C5E">
              <w:rPr>
                <w:szCs w:val="20"/>
              </w:rPr>
              <w:t>n or before the survey</w:t>
            </w:r>
            <w:r w:rsidR="00655E8A" w:rsidRPr="00CB0C5E">
              <w:rPr>
                <w:szCs w:val="20"/>
              </w:rPr>
              <w:t xml:space="preserve"> date</w:t>
            </w:r>
            <w:r w:rsidR="00CF0AE9" w:rsidRPr="00CB0C5E">
              <w:rPr>
                <w:szCs w:val="20"/>
              </w:rPr>
              <w:t>.</w:t>
            </w:r>
          </w:p>
          <w:p w:rsidR="008B424C" w:rsidRPr="00CB0C5E" w:rsidRDefault="00013C8B">
            <w:pPr>
              <w:pStyle w:val="Bullet"/>
              <w:rPr>
                <w:szCs w:val="20"/>
              </w:rPr>
            </w:pPr>
            <w:r w:rsidRPr="00CB0C5E">
              <w:rPr>
                <w:szCs w:val="20"/>
              </w:rPr>
              <w:t>The parent</w:t>
            </w:r>
            <w:r w:rsidR="007E6C70">
              <w:rPr>
                <w:szCs w:val="20"/>
              </w:rPr>
              <w:t>’</w:t>
            </w:r>
            <w:r w:rsidRPr="00CB0C5E">
              <w:rPr>
                <w:szCs w:val="20"/>
              </w:rPr>
              <w:t>s or wholly owned or controlled subsidiary</w:t>
            </w:r>
            <w:r w:rsidR="007E6C70">
              <w:rPr>
                <w:szCs w:val="20"/>
              </w:rPr>
              <w:t>’</w:t>
            </w:r>
            <w:r w:rsidRPr="00CB0C5E">
              <w:rPr>
                <w:szCs w:val="20"/>
              </w:rPr>
              <w:t xml:space="preserve">s or </w:t>
            </w:r>
            <w:r w:rsidR="001843CE">
              <w:rPr>
                <w:szCs w:val="20"/>
              </w:rPr>
              <w:t>affiliated entity</w:t>
            </w:r>
            <w:r w:rsidR="00DD7B28">
              <w:rPr>
                <w:szCs w:val="20"/>
              </w:rPr>
              <w:t>’s</w:t>
            </w:r>
            <w:r w:rsidRPr="00CB0C5E">
              <w:rPr>
                <w:szCs w:val="20"/>
              </w:rPr>
              <w:t xml:space="preserve"> Accreditation Survey or Certification Survey must have included the specific elements for which the organization seeks automatic credit</w:t>
            </w:r>
            <w:r w:rsidR="00CF0AE9" w:rsidRPr="00CB0C5E">
              <w:rPr>
                <w:szCs w:val="20"/>
              </w:rPr>
              <w:t>.</w:t>
            </w:r>
          </w:p>
          <w:p w:rsidR="008B424C" w:rsidRPr="00CB0C5E" w:rsidRDefault="00013C8B">
            <w:pPr>
              <w:pStyle w:val="Bullet"/>
              <w:rPr>
                <w:kern w:val="28"/>
                <w:szCs w:val="20"/>
              </w:rPr>
            </w:pPr>
            <w:r w:rsidRPr="00CB0C5E">
              <w:rPr>
                <w:szCs w:val="20"/>
              </w:rPr>
              <w:t>For non-file review elements, at least 70 percent of the organization</w:t>
            </w:r>
            <w:r w:rsidR="007E6C70">
              <w:rPr>
                <w:szCs w:val="20"/>
              </w:rPr>
              <w:t>’</w:t>
            </w:r>
            <w:r w:rsidRPr="00CB0C5E">
              <w:rPr>
                <w:szCs w:val="20"/>
              </w:rPr>
              <w:t xml:space="preserve">s membership is covered by the </w:t>
            </w:r>
            <w:r w:rsidR="00300AF0" w:rsidRPr="00CB0C5E">
              <w:rPr>
                <w:szCs w:val="20"/>
              </w:rPr>
              <w:t>NCQA Accredited or</w:t>
            </w:r>
            <w:r w:rsidRPr="00CB0C5E">
              <w:rPr>
                <w:szCs w:val="20"/>
              </w:rPr>
              <w:t xml:space="preserve"> NCQA Certified </w:t>
            </w:r>
            <w:r w:rsidR="00137447" w:rsidRPr="00CB0C5E">
              <w:rPr>
                <w:szCs w:val="20"/>
              </w:rPr>
              <w:t>parent</w:t>
            </w:r>
            <w:r w:rsidR="007E6C70">
              <w:rPr>
                <w:szCs w:val="20"/>
              </w:rPr>
              <w:t>’</w:t>
            </w:r>
            <w:r w:rsidR="00137447" w:rsidRPr="00CB0C5E">
              <w:rPr>
                <w:szCs w:val="20"/>
              </w:rPr>
              <w:t>s or wholly owned or controlled subsidiary</w:t>
            </w:r>
            <w:r w:rsidR="007E6C70">
              <w:rPr>
                <w:szCs w:val="20"/>
              </w:rPr>
              <w:t>’</w:t>
            </w:r>
            <w:r w:rsidR="00137447" w:rsidRPr="00CB0C5E">
              <w:rPr>
                <w:szCs w:val="20"/>
              </w:rPr>
              <w:t xml:space="preserve">s or </w:t>
            </w:r>
            <w:r w:rsidR="001843CE">
              <w:rPr>
                <w:szCs w:val="20"/>
              </w:rPr>
              <w:t>affiliated entity in the corporate family</w:t>
            </w:r>
            <w:r w:rsidR="007E6C70">
              <w:rPr>
                <w:szCs w:val="20"/>
              </w:rPr>
              <w:t>’</w:t>
            </w:r>
            <w:r w:rsidR="00137447" w:rsidRPr="00CB0C5E">
              <w:rPr>
                <w:szCs w:val="20"/>
              </w:rPr>
              <w:t xml:space="preserve">s </w:t>
            </w:r>
            <w:r w:rsidRPr="00CB0C5E">
              <w:rPr>
                <w:szCs w:val="20"/>
              </w:rPr>
              <w:t>services.</w:t>
            </w:r>
          </w:p>
          <w:p w:rsidR="008B424C" w:rsidRPr="00CB0C5E" w:rsidRDefault="00137447" w:rsidP="008A2F8D">
            <w:pPr>
              <w:pStyle w:val="Bullet"/>
              <w:numPr>
                <w:ilvl w:val="0"/>
                <w:numId w:val="0"/>
              </w:numPr>
              <w:rPr>
                <w:kern w:val="28"/>
                <w:szCs w:val="20"/>
              </w:rPr>
            </w:pPr>
            <w:r w:rsidRPr="00CB0C5E">
              <w:rPr>
                <w:szCs w:val="20"/>
              </w:rPr>
              <w:t xml:space="preserve">Automatic credit is not available for </w:t>
            </w:r>
            <w:r w:rsidR="00655E8A" w:rsidRPr="00CB0C5E">
              <w:rPr>
                <w:szCs w:val="20"/>
              </w:rPr>
              <w:t>an</w:t>
            </w:r>
            <w:r w:rsidRPr="00CB0C5E">
              <w:rPr>
                <w:szCs w:val="20"/>
              </w:rPr>
              <w:t xml:space="preserve"> </w:t>
            </w:r>
            <w:r w:rsidR="00300AF0" w:rsidRPr="00CB0C5E">
              <w:rPr>
                <w:szCs w:val="20"/>
              </w:rPr>
              <w:t>NCQA Accredited or</w:t>
            </w:r>
            <w:r w:rsidRPr="00CB0C5E">
              <w:rPr>
                <w:szCs w:val="20"/>
              </w:rPr>
              <w:t xml:space="preserve"> NCQA Certified parent or wholly owned or controlled subsidiary or </w:t>
            </w:r>
            <w:r w:rsidR="001843CE">
              <w:rPr>
                <w:szCs w:val="20"/>
              </w:rPr>
              <w:t>affiliated entity in the corporate family</w:t>
            </w:r>
            <w:r w:rsidRPr="00CB0C5E">
              <w:rPr>
                <w:szCs w:val="20"/>
              </w:rPr>
              <w:t xml:space="preserve"> if the function being performed was excluded from or varie</w:t>
            </w:r>
            <w:r w:rsidR="00CF0AE9" w:rsidRPr="00CB0C5E">
              <w:rPr>
                <w:szCs w:val="20"/>
              </w:rPr>
              <w:t>s</w:t>
            </w:r>
            <w:r w:rsidRPr="00CB0C5E">
              <w:rPr>
                <w:szCs w:val="20"/>
              </w:rPr>
              <w:t xml:space="preserve"> significantly from its NCQA Accreditation or </w:t>
            </w:r>
            <w:r w:rsidR="00CF0AE9" w:rsidRPr="00CB0C5E">
              <w:rPr>
                <w:szCs w:val="20"/>
              </w:rPr>
              <w:t xml:space="preserve">NCQA </w:t>
            </w:r>
            <w:r w:rsidRPr="00CB0C5E">
              <w:rPr>
                <w:szCs w:val="20"/>
              </w:rPr>
              <w:t>Certification requirements.</w:t>
            </w:r>
          </w:p>
        </w:tc>
      </w:tr>
    </w:tbl>
    <w:p w:rsidR="006E285B" w:rsidRPr="00CB0C5E" w:rsidRDefault="006E285B" w:rsidP="00071991">
      <w:pPr>
        <w:pStyle w:val="StdHead"/>
      </w:pPr>
      <w:r w:rsidRPr="00CB0C5E">
        <w:t>What Is Subdelegation?</w:t>
      </w:r>
    </w:p>
    <w:p w:rsidR="002A78EE" w:rsidRPr="00CB0C5E" w:rsidRDefault="002A78EE">
      <w:pPr>
        <w:pStyle w:val="Body"/>
      </w:pPr>
      <w:r w:rsidRPr="00CB0C5E">
        <w:rPr>
          <w:b/>
        </w:rPr>
        <w:t>Subdelegation</w:t>
      </w:r>
      <w:r w:rsidRPr="00CB0C5E">
        <w:t xml:space="preserve"> occurs when the organization</w:t>
      </w:r>
      <w:r w:rsidR="007E6C70">
        <w:t>’</w:t>
      </w:r>
      <w:r w:rsidRPr="00CB0C5E">
        <w:t>s delegate gives a third entity the authority to carry out a delegated function. For example, the organization may delegate credentialing (CR) activities to a provider hospital organization (PHO), which then delegates some of those activities to a hospital. In this case, the hospital is the subdelegate.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80" w:type="dxa"/>
          <w:right w:w="180" w:type="dxa"/>
        </w:tblCellMar>
        <w:tblLook w:val="0000" w:firstRow="0" w:lastRow="0" w:firstColumn="0" w:lastColumn="0" w:noHBand="0" w:noVBand="0"/>
      </w:tblPr>
      <w:tblGrid>
        <w:gridCol w:w="2365"/>
        <w:gridCol w:w="7175"/>
      </w:tblGrid>
      <w:tr w:rsidR="006E285B" w:rsidRPr="00CB0C5E" w:rsidTr="00011229">
        <w:tc>
          <w:tcPr>
            <w:tcW w:w="2365" w:type="dxa"/>
            <w:tcBorders>
              <w:top w:val="nil"/>
              <w:left w:val="nil"/>
              <w:bottom w:val="nil"/>
              <w:right w:val="nil"/>
            </w:tcBorders>
            <w:tcMar>
              <w:left w:w="115" w:type="dxa"/>
              <w:right w:w="115" w:type="dxa"/>
            </w:tcMar>
          </w:tcPr>
          <w:p w:rsidR="006E285B" w:rsidRPr="00CB0C5E" w:rsidRDefault="001D7B6A" w:rsidP="002A78EE">
            <w:pPr>
              <w:pStyle w:val="MarginSubhead"/>
            </w:pPr>
            <w:r w:rsidRPr="00CB0C5E">
              <w:t>O</w:t>
            </w:r>
            <w:r w:rsidR="00E260FC" w:rsidRPr="00CB0C5E">
              <w:t xml:space="preserve">versight of subdelegates </w:t>
            </w:r>
          </w:p>
        </w:tc>
        <w:tc>
          <w:tcPr>
            <w:tcW w:w="7175" w:type="dxa"/>
            <w:tcBorders>
              <w:top w:val="nil"/>
              <w:left w:val="nil"/>
              <w:bottom w:val="nil"/>
              <w:right w:val="nil"/>
            </w:tcBorders>
            <w:tcMar>
              <w:left w:w="115" w:type="dxa"/>
              <w:right w:w="115" w:type="dxa"/>
            </w:tcMar>
          </w:tcPr>
          <w:p w:rsidR="00963BCD" w:rsidRPr="00CB0C5E" w:rsidRDefault="006E285B" w:rsidP="004E5AA6">
            <w:pPr>
              <w:pStyle w:val="Body"/>
              <w:rPr>
                <w:b/>
              </w:rPr>
            </w:pPr>
            <w:r w:rsidRPr="00CB0C5E">
              <w:t>Subdelegation is acceptable if either the delegate or the organization oversees the work performed by the subdelegate to ensure that it meets the organization and NCQA standards. The organization may oversee the subdelegate directly. If the delegate oversees the subdelegate, it must report to the organization regarding subdelegate</w:t>
            </w:r>
            <w:r w:rsidR="007E6C70">
              <w:t>’</w:t>
            </w:r>
            <w:r w:rsidRPr="00CB0C5E">
              <w:t xml:space="preserve">s performance. NCQA confirms that oversight of the subdelegate is performed according to NCQA standards. The organization </w:t>
            </w:r>
            <w:r w:rsidR="00B16ACD" w:rsidRPr="00CB0C5E">
              <w:t xml:space="preserve">remains </w:t>
            </w:r>
            <w:r w:rsidR="00392DE7" w:rsidRPr="00CB0C5E">
              <w:t xml:space="preserve">responsible </w:t>
            </w:r>
            <w:r w:rsidR="004E5AA6" w:rsidRPr="00CB0C5E">
              <w:t xml:space="preserve">for the oversight of </w:t>
            </w:r>
            <w:r w:rsidRPr="00CB0C5E">
              <w:t>all activities performed by both the delegate and subdelegate on its behalf.</w:t>
            </w:r>
          </w:p>
        </w:tc>
      </w:tr>
    </w:tbl>
    <w:p w:rsidR="00963BCD" w:rsidRPr="00CB0C5E" w:rsidRDefault="00963BCD" w:rsidP="00963BCD">
      <w:pPr>
        <w:pStyle w:val="StdHead"/>
      </w:pPr>
      <w:r w:rsidRPr="00CB0C5E">
        <w:t>Is Use of a Vendor Delegation?</w:t>
      </w:r>
    </w:p>
    <w:p w:rsidR="00614546" w:rsidRPr="00CB0C5E" w:rsidRDefault="00614546" w:rsidP="008B424C">
      <w:pPr>
        <w:pStyle w:val="Body"/>
        <w:tabs>
          <w:tab w:val="left" w:pos="2005"/>
        </w:tabs>
        <w:rPr>
          <w:rFonts w:cs="Arial"/>
          <w:color w:val="000000"/>
          <w:szCs w:val="20"/>
        </w:rPr>
      </w:pPr>
      <w:r w:rsidRPr="00CB0C5E">
        <w:rPr>
          <w:rFonts w:cs="Arial"/>
          <w:color w:val="000000"/>
          <w:szCs w:val="20"/>
        </w:rPr>
        <w:t>NCQA does not consider the vendor relationship to be delegation</w:t>
      </w:r>
      <w:r w:rsidRPr="00CB0C5E">
        <w:t>. In a vendor relationship, the organization does not give another entity the authority to carry out a function that it would otherwise perform. A vendor relationship is more similar to a purchase relationship where the organization obtains a product or service from the vendor and maintains the authority, including control over the implementation and manner and use of the vendor</w:t>
      </w:r>
      <w:r w:rsidR="007E6C70">
        <w:t>’</w:t>
      </w:r>
      <w:r w:rsidRPr="00CB0C5E">
        <w:t xml:space="preserve">s product or service to perform the function. When using a vendor to perform a function, the organization must still provide its own </w:t>
      </w:r>
      <w:r w:rsidRPr="00CB0C5E">
        <w:rPr>
          <w:rFonts w:cs="Arial"/>
          <w:szCs w:val="20"/>
        </w:rPr>
        <w:t xml:space="preserve">materials, processes and other data sources as evidence that it meets </w:t>
      </w:r>
      <w:r w:rsidRPr="00CB0C5E">
        <w:t xml:space="preserve">NCQA standards, except for the standards listed below that may be demonstrated by vendor documentation. </w:t>
      </w:r>
      <w:r w:rsidRPr="00CB0C5E">
        <w:rPr>
          <w:rFonts w:cs="Arial"/>
          <w:color w:val="000000"/>
          <w:szCs w:val="20"/>
        </w:rPr>
        <w:t>NCQA accepts the vendor</w:t>
      </w:r>
      <w:r w:rsidR="007E6C70">
        <w:rPr>
          <w:rFonts w:cs="Arial"/>
          <w:color w:val="000000"/>
          <w:szCs w:val="20"/>
        </w:rPr>
        <w:t>’</w:t>
      </w:r>
      <w:r w:rsidRPr="00CB0C5E">
        <w:rPr>
          <w:rFonts w:cs="Arial"/>
          <w:color w:val="000000"/>
          <w:szCs w:val="20"/>
        </w:rPr>
        <w:t>s documentation for evaluation against the following standards and elements:</w:t>
      </w:r>
    </w:p>
    <w:p w:rsidR="00BD2C97" w:rsidRPr="00CB0C5E" w:rsidRDefault="00BD2C97">
      <w:pPr>
        <w:sectPr w:rsidR="00BD2C97" w:rsidRPr="00CB0C5E" w:rsidSect="00744802">
          <w:pgSz w:w="12240" w:h="15840" w:code="1"/>
          <w:pgMar w:top="1080" w:right="1440" w:bottom="1080" w:left="1440" w:header="720" w:footer="720" w:gutter="0"/>
          <w:cols w:space="720"/>
        </w:sectPr>
      </w:pPr>
    </w:p>
    <w:p w:rsidR="00614546" w:rsidRPr="00CB0C5E" w:rsidRDefault="00614546" w:rsidP="00614546">
      <w:pPr>
        <w:pStyle w:val="Bullet"/>
        <w:spacing w:before="0"/>
      </w:pPr>
      <w:r w:rsidRPr="00CB0C5E">
        <w:lastRenderedPageBreak/>
        <w:t>MEM 1: Health Appraisals.</w:t>
      </w:r>
    </w:p>
    <w:p w:rsidR="00614546" w:rsidRPr="00CB0C5E" w:rsidRDefault="00614546" w:rsidP="00614546">
      <w:pPr>
        <w:pStyle w:val="Bullet"/>
      </w:pPr>
      <w:r w:rsidRPr="00CB0C5E">
        <w:t>MEM 2: Self-Management Tools.</w:t>
      </w:r>
    </w:p>
    <w:p w:rsidR="00614546" w:rsidRPr="00CB0C5E" w:rsidRDefault="00614546" w:rsidP="00614546">
      <w:pPr>
        <w:pStyle w:val="Bullet"/>
      </w:pPr>
      <w:r w:rsidRPr="00CB0C5E">
        <w:t>MEM 3, Element A: Functionality: Web Site.</w:t>
      </w:r>
    </w:p>
    <w:p w:rsidR="00614546" w:rsidRPr="00CB0C5E" w:rsidRDefault="00614546" w:rsidP="00614546">
      <w:pPr>
        <w:pStyle w:val="Bullet"/>
      </w:pPr>
      <w:r w:rsidRPr="00CB0C5E">
        <w:t>MEM 6, Element A: Innovative Technology.</w:t>
      </w:r>
    </w:p>
    <w:p w:rsidR="00614546" w:rsidRPr="00CB0C5E" w:rsidDel="00CA28AA" w:rsidRDefault="00614546" w:rsidP="00614546">
      <w:pPr>
        <w:pStyle w:val="Bullet"/>
      </w:pPr>
      <w:r w:rsidRPr="00CB0C5E">
        <w:t>RR 4, Element I: Usability Testing.</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80" w:type="dxa"/>
          <w:right w:w="180" w:type="dxa"/>
        </w:tblCellMar>
        <w:tblLook w:val="0000" w:firstRow="0" w:lastRow="0" w:firstColumn="0" w:lastColumn="0" w:noHBand="0" w:noVBand="0"/>
      </w:tblPr>
      <w:tblGrid>
        <w:gridCol w:w="2005"/>
        <w:gridCol w:w="7535"/>
      </w:tblGrid>
      <w:tr w:rsidR="00BD2C97" w:rsidRPr="00CB0C5E" w:rsidDel="00CA28AA" w:rsidTr="00BD2C97">
        <w:tc>
          <w:tcPr>
            <w:tcW w:w="2005" w:type="dxa"/>
            <w:tcBorders>
              <w:top w:val="nil"/>
              <w:left w:val="nil"/>
              <w:bottom w:val="nil"/>
              <w:right w:val="nil"/>
            </w:tcBorders>
            <w:tcMar>
              <w:left w:w="115" w:type="dxa"/>
              <w:right w:w="115" w:type="dxa"/>
            </w:tcMar>
          </w:tcPr>
          <w:p w:rsidR="00BD2C97" w:rsidRPr="00CB0C5E" w:rsidRDefault="00BD2C97" w:rsidP="00BD2C97">
            <w:pPr>
              <w:pStyle w:val="MarginSubhead"/>
            </w:pPr>
            <w:r w:rsidRPr="00CB0C5E">
              <w:t>Documentation</w:t>
            </w:r>
          </w:p>
        </w:tc>
        <w:tc>
          <w:tcPr>
            <w:tcW w:w="7535" w:type="dxa"/>
            <w:tcBorders>
              <w:top w:val="nil"/>
              <w:left w:val="nil"/>
              <w:bottom w:val="nil"/>
              <w:right w:val="nil"/>
            </w:tcBorders>
            <w:tcMar>
              <w:left w:w="115" w:type="dxa"/>
              <w:right w:w="115" w:type="dxa"/>
            </w:tcMar>
          </w:tcPr>
          <w:p w:rsidR="00BD2C97" w:rsidRPr="00CB0C5E" w:rsidRDefault="00BD2C97" w:rsidP="00BD2C97">
            <w:pPr>
              <w:pStyle w:val="Body"/>
              <w:rPr>
                <w:rFonts w:cs="Arial"/>
                <w:color w:val="000000"/>
                <w:szCs w:val="20"/>
              </w:rPr>
            </w:pPr>
            <w:r w:rsidRPr="00CB0C5E">
              <w:t xml:space="preserve">When an organization uses a vendor to perform activities required by NCQA, there must be written acknowledgment or an official document specifying the NCQA requirements performed by vendor. NCQA does not require documentation of oversight (as is required for delegation). If the vendor is </w:t>
            </w:r>
            <w:r w:rsidR="00300AF0" w:rsidRPr="00CB0C5E">
              <w:t>NCQA Accredited or</w:t>
            </w:r>
            <w:r w:rsidRPr="00CB0C5E">
              <w:t xml:space="preserve"> NCQA Certified, the organization may be eligible to receive automatic credit for specific activities. Refer to </w:t>
            </w:r>
            <w:r w:rsidRPr="00CB0C5E">
              <w:rPr>
                <w:i/>
              </w:rPr>
              <w:t>Automatic credit.</w:t>
            </w:r>
          </w:p>
        </w:tc>
      </w:tr>
    </w:tbl>
    <w:p w:rsidR="006E285B" w:rsidRPr="00CB0C5E" w:rsidRDefault="006E285B" w:rsidP="00DE7937">
      <w:pPr>
        <w:pStyle w:val="StdHead"/>
      </w:pPr>
      <w:r w:rsidRPr="00CB0C5E">
        <w:t xml:space="preserve">Authority vs. </w:t>
      </w:r>
      <w:r w:rsidR="00392DE7" w:rsidRPr="00CB0C5E">
        <w:t>Responsibility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80" w:type="dxa"/>
          <w:right w:w="180" w:type="dxa"/>
        </w:tblCellMar>
        <w:tblLook w:val="0000" w:firstRow="0" w:lastRow="0" w:firstColumn="0" w:lastColumn="0" w:noHBand="0" w:noVBand="0"/>
      </w:tblPr>
      <w:tblGrid>
        <w:gridCol w:w="2005"/>
        <w:gridCol w:w="7535"/>
      </w:tblGrid>
      <w:tr w:rsidR="006E285B" w:rsidRPr="00CB0C5E" w:rsidTr="00DE7937">
        <w:tc>
          <w:tcPr>
            <w:tcW w:w="2005" w:type="dxa"/>
            <w:tcBorders>
              <w:top w:val="nil"/>
              <w:left w:val="nil"/>
              <w:bottom w:val="nil"/>
              <w:right w:val="nil"/>
            </w:tcBorders>
            <w:tcMar>
              <w:left w:w="115" w:type="dxa"/>
              <w:right w:w="115" w:type="dxa"/>
            </w:tcMar>
          </w:tcPr>
          <w:p w:rsidR="006E285B" w:rsidRPr="00CB0C5E" w:rsidRDefault="006E285B">
            <w:pPr>
              <w:pStyle w:val="MarginSubhead"/>
            </w:pPr>
            <w:r w:rsidRPr="00CB0C5E">
              <w:t>Authority</w:t>
            </w:r>
          </w:p>
        </w:tc>
        <w:tc>
          <w:tcPr>
            <w:tcW w:w="7535" w:type="dxa"/>
            <w:tcBorders>
              <w:top w:val="nil"/>
              <w:left w:val="nil"/>
              <w:bottom w:val="nil"/>
              <w:right w:val="nil"/>
            </w:tcBorders>
            <w:tcMar>
              <w:left w:w="115" w:type="dxa"/>
              <w:right w:w="115" w:type="dxa"/>
            </w:tcMar>
          </w:tcPr>
          <w:p w:rsidR="006E285B" w:rsidRPr="00CB0C5E" w:rsidRDefault="006E285B" w:rsidP="006A78E7">
            <w:pPr>
              <w:pStyle w:val="Body"/>
            </w:pPr>
            <w:r w:rsidRPr="00CB0C5E">
              <w:t>In this context, the delegate has been given the power to carry out a specific function under its own direction, within the parameters agreed to.</w:t>
            </w:r>
            <w:r w:rsidR="000B173C" w:rsidRPr="00CB0C5E">
              <w:t xml:space="preserve">  </w:t>
            </w:r>
          </w:p>
        </w:tc>
      </w:tr>
      <w:tr w:rsidR="006E285B" w:rsidRPr="00CB0C5E" w:rsidTr="00DE7937">
        <w:tc>
          <w:tcPr>
            <w:tcW w:w="2005" w:type="dxa"/>
            <w:tcBorders>
              <w:top w:val="nil"/>
              <w:left w:val="nil"/>
              <w:bottom w:val="nil"/>
              <w:right w:val="nil"/>
            </w:tcBorders>
            <w:tcMar>
              <w:left w:w="115" w:type="dxa"/>
              <w:right w:w="115" w:type="dxa"/>
            </w:tcMar>
          </w:tcPr>
          <w:p w:rsidR="006E285B" w:rsidRPr="00CB0C5E" w:rsidRDefault="00392DE7">
            <w:pPr>
              <w:pStyle w:val="MarginSubhead"/>
            </w:pPr>
            <w:r w:rsidRPr="00CB0C5E">
              <w:t>Responsibility</w:t>
            </w:r>
          </w:p>
        </w:tc>
        <w:tc>
          <w:tcPr>
            <w:tcW w:w="7535" w:type="dxa"/>
            <w:tcBorders>
              <w:top w:val="nil"/>
              <w:left w:val="nil"/>
              <w:bottom w:val="nil"/>
              <w:right w:val="nil"/>
            </w:tcBorders>
            <w:tcMar>
              <w:left w:w="115" w:type="dxa"/>
              <w:right w:w="115" w:type="dxa"/>
            </w:tcMar>
          </w:tcPr>
          <w:p w:rsidR="00794503" w:rsidRPr="00CB0C5E" w:rsidRDefault="008E2677" w:rsidP="00DB47E1">
            <w:pPr>
              <w:pStyle w:val="Body"/>
            </w:pPr>
            <w:r w:rsidRPr="00CB0C5E">
              <w:t xml:space="preserve">In this context, the organization remains responsible </w:t>
            </w:r>
            <w:r w:rsidR="005B0CE8" w:rsidRPr="00CB0C5E">
              <w:t>f</w:t>
            </w:r>
            <w:r w:rsidRPr="00CB0C5E">
              <w:t>o</w:t>
            </w:r>
            <w:r w:rsidR="005B0CE8" w:rsidRPr="00CB0C5E">
              <w:t>r</w:t>
            </w:r>
            <w:r w:rsidRPr="00CB0C5E">
              <w:t xml:space="preserve"> meet</w:t>
            </w:r>
            <w:r w:rsidR="005B0CE8" w:rsidRPr="00CB0C5E">
              <w:t>ing</w:t>
            </w:r>
            <w:r w:rsidRPr="00CB0C5E">
              <w:t xml:space="preserve"> NCQA standards for all functions performed within its purview, whether the</w:t>
            </w:r>
            <w:r w:rsidR="005B0CE8" w:rsidRPr="00CB0C5E">
              <w:t xml:space="preserve"> functions</w:t>
            </w:r>
            <w:r w:rsidRPr="00CB0C5E">
              <w:t xml:space="preserve"> are performed by the organization, by a delegate or by a subdelegate. An organization that delegates activities associated with any NCQA standards must demonstrate as part of its oversight activities that </w:t>
            </w:r>
            <w:r w:rsidR="005B0CE8" w:rsidRPr="00CB0C5E">
              <w:t>it</w:t>
            </w:r>
            <w:r w:rsidRPr="00CB0C5E">
              <w:t xml:space="preserve"> can evaluate performance and implement improvements, as needed, across its network and membership.</w:t>
            </w:r>
            <w:r w:rsidR="00CA28AA" w:rsidRPr="00CB0C5E">
              <w:t xml:space="preserve"> The organization retains responsibility for the work performed and for the end product for all functions performed within its purview. The organization gives a delegate the </w:t>
            </w:r>
            <w:r w:rsidR="00CA28AA" w:rsidRPr="00CB0C5E">
              <w:rPr>
                <w:i/>
              </w:rPr>
              <w:t>authority</w:t>
            </w:r>
            <w:r w:rsidR="00CA28AA" w:rsidRPr="00CB0C5E">
              <w:t xml:space="preserve"> to act on its behalf, but it remains </w:t>
            </w:r>
            <w:r w:rsidR="00CA28AA" w:rsidRPr="00CB0C5E">
              <w:rPr>
                <w:i/>
              </w:rPr>
              <w:t>responsible</w:t>
            </w:r>
            <w:r w:rsidR="00CA28AA" w:rsidRPr="00CB0C5E">
              <w:t xml:space="preserve"> for </w:t>
            </w:r>
            <w:r w:rsidR="005B0CE8" w:rsidRPr="00CB0C5E">
              <w:t>the</w:t>
            </w:r>
            <w:r w:rsidR="00CA28AA" w:rsidRPr="00CB0C5E">
              <w:t xml:space="preserve"> NCQA function to be carried out properly.</w:t>
            </w:r>
          </w:p>
        </w:tc>
      </w:tr>
      <w:tr w:rsidR="00DB47E1" w:rsidRPr="00CB0C5E" w:rsidTr="00DE7937">
        <w:tc>
          <w:tcPr>
            <w:tcW w:w="2005" w:type="dxa"/>
            <w:tcBorders>
              <w:top w:val="nil"/>
              <w:left w:val="nil"/>
              <w:bottom w:val="nil"/>
              <w:right w:val="nil"/>
            </w:tcBorders>
            <w:tcMar>
              <w:left w:w="115" w:type="dxa"/>
              <w:right w:w="115" w:type="dxa"/>
            </w:tcMar>
          </w:tcPr>
          <w:p w:rsidR="00DB47E1" w:rsidRPr="00CB0C5E" w:rsidDel="00392DE7" w:rsidRDefault="00DB47E1">
            <w:pPr>
              <w:pStyle w:val="MarginSubhead"/>
            </w:pPr>
            <w:r w:rsidRPr="00CB0C5E">
              <w:t>Oversight review waived</w:t>
            </w:r>
          </w:p>
        </w:tc>
        <w:tc>
          <w:tcPr>
            <w:tcW w:w="7535" w:type="dxa"/>
            <w:tcBorders>
              <w:top w:val="nil"/>
              <w:left w:val="nil"/>
              <w:bottom w:val="nil"/>
              <w:right w:val="nil"/>
            </w:tcBorders>
            <w:tcMar>
              <w:left w:w="115" w:type="dxa"/>
              <w:right w:w="115" w:type="dxa"/>
            </w:tcMar>
          </w:tcPr>
          <w:p w:rsidR="00DB47E1" w:rsidRPr="00CB0C5E" w:rsidDel="00CA28AA" w:rsidRDefault="00DB47E1" w:rsidP="00DB47E1">
            <w:pPr>
              <w:pStyle w:val="Body"/>
            </w:pPr>
            <w:r w:rsidRPr="00CB0C5E">
              <w:t>NCQA waives review of oversight</w:t>
            </w:r>
            <w:r w:rsidRPr="00CB0C5E" w:rsidDel="00794503">
              <w:t xml:space="preserve"> </w:t>
            </w:r>
            <w:r w:rsidRPr="00CB0C5E">
              <w:t>for some corporate relationships (e.g., when the organization is owned by or under common control with another organization that performs the function) and for some delegated functions. These relationships and functions (and the associated</w:t>
            </w:r>
            <w:r w:rsidRPr="00CB0C5E" w:rsidDel="00AC361C">
              <w:t xml:space="preserve"> </w:t>
            </w:r>
            <w:r w:rsidRPr="00CB0C5E">
              <w:t xml:space="preserve">standards) are stated in the </w:t>
            </w:r>
            <w:r w:rsidRPr="00CB0C5E">
              <w:rPr>
                <w:i/>
              </w:rPr>
              <w:t>Standards and Guidelines</w:t>
            </w:r>
            <w:r w:rsidRPr="00CB0C5E">
              <w:t xml:space="preserve"> and in the appendices. In all cases—even when review of oversight is not conducted—the organization must maintain a mutually agreed-upon document that specifically describes the functions of the organization and functions being performed by other members of its corporate family, and by all delegates and subdelegates.</w:t>
            </w:r>
          </w:p>
        </w:tc>
      </w:tr>
    </w:tbl>
    <w:p w:rsidR="006E285B" w:rsidRPr="00CB0C5E" w:rsidRDefault="006E285B" w:rsidP="00CD5083">
      <w:pPr>
        <w:pStyle w:val="StdHead"/>
      </w:pPr>
      <w:r w:rsidRPr="00CB0C5E">
        <w:t>Determining Delegation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80" w:type="dxa"/>
          <w:right w:w="180" w:type="dxa"/>
        </w:tblCellMar>
        <w:tblLook w:val="0000" w:firstRow="0" w:lastRow="0" w:firstColumn="0" w:lastColumn="0" w:noHBand="0" w:noVBand="0"/>
      </w:tblPr>
      <w:tblGrid>
        <w:gridCol w:w="2005"/>
        <w:gridCol w:w="7535"/>
      </w:tblGrid>
      <w:tr w:rsidR="006E285B" w:rsidRPr="00CB0C5E" w:rsidTr="005B0CE8">
        <w:tc>
          <w:tcPr>
            <w:tcW w:w="2005" w:type="dxa"/>
            <w:tcBorders>
              <w:top w:val="nil"/>
              <w:left w:val="nil"/>
              <w:bottom w:val="nil"/>
              <w:right w:val="nil"/>
            </w:tcBorders>
            <w:tcMar>
              <w:left w:w="115" w:type="dxa"/>
              <w:right w:w="115" w:type="dxa"/>
            </w:tcMar>
          </w:tcPr>
          <w:p w:rsidR="006E285B" w:rsidRPr="00CB0C5E" w:rsidRDefault="006E285B">
            <w:pPr>
              <w:pStyle w:val="MarginSubhead"/>
            </w:pPr>
            <w:r w:rsidRPr="00CB0C5E">
              <w:t>What NCQA</w:t>
            </w:r>
            <w:r w:rsidRPr="00CB0C5E">
              <w:br/>
              <w:t>looks for</w:t>
            </w:r>
          </w:p>
        </w:tc>
        <w:tc>
          <w:tcPr>
            <w:tcW w:w="7535" w:type="dxa"/>
            <w:tcBorders>
              <w:top w:val="nil"/>
              <w:left w:val="nil"/>
              <w:bottom w:val="nil"/>
              <w:right w:val="nil"/>
            </w:tcBorders>
            <w:tcMar>
              <w:left w:w="115" w:type="dxa"/>
              <w:right w:w="115" w:type="dxa"/>
            </w:tcMar>
          </w:tcPr>
          <w:p w:rsidR="006E285B" w:rsidRPr="00CB0C5E" w:rsidRDefault="006E285B">
            <w:pPr>
              <w:pStyle w:val="Body"/>
            </w:pPr>
            <w:r w:rsidRPr="00CB0C5E">
              <w:t xml:space="preserve">To ascertain whether the organization has explicitly or implicitly granted another entity the authority to perform functions on its behalf, NCQA looks for collaborative arrangements and asks: </w:t>
            </w:r>
          </w:p>
          <w:p w:rsidR="006E285B" w:rsidRPr="00CB0C5E" w:rsidRDefault="006E285B">
            <w:pPr>
              <w:pStyle w:val="Body"/>
              <w:ind w:left="270" w:right="450"/>
              <w:rPr>
                <w:i/>
              </w:rPr>
            </w:pPr>
            <w:r w:rsidRPr="00CB0C5E">
              <w:rPr>
                <w:i/>
              </w:rPr>
              <w:t>If the other entity were not performing the activity, would the organization have to perform it to meet the intent of NCQA standards?</w:t>
            </w:r>
          </w:p>
          <w:p w:rsidR="006E285B" w:rsidRPr="00CB0C5E" w:rsidRDefault="006E285B">
            <w:pPr>
              <w:pStyle w:val="Body"/>
            </w:pPr>
            <w:r w:rsidRPr="00CB0C5E">
              <w:t xml:space="preserve">If the answer to this question is </w:t>
            </w:r>
            <w:r w:rsidR="00EF03C7">
              <w:t>“</w:t>
            </w:r>
            <w:r w:rsidRPr="00CB0C5E">
              <w:t>yes,</w:t>
            </w:r>
            <w:r w:rsidR="00EF03C7">
              <w:t>”</w:t>
            </w:r>
            <w:r w:rsidRPr="00CB0C5E">
              <w:t xml:space="preserve"> </w:t>
            </w:r>
            <w:r w:rsidR="00FA5C8C" w:rsidRPr="00CB0C5E">
              <w:t xml:space="preserve">NCQA considers </w:t>
            </w:r>
            <w:r w:rsidRPr="00CB0C5E">
              <w:t xml:space="preserve">the </w:t>
            </w:r>
            <w:r w:rsidR="00FA5C8C" w:rsidRPr="00CB0C5E">
              <w:t>activity</w:t>
            </w:r>
            <w:r w:rsidR="004F5835" w:rsidRPr="00CB0C5E">
              <w:t xml:space="preserve"> </w:t>
            </w:r>
            <w:r w:rsidR="00FA5C8C" w:rsidRPr="00CB0C5E">
              <w:t xml:space="preserve">a </w:t>
            </w:r>
            <w:r w:rsidRPr="00CB0C5E">
              <w:t>delegated function—whether or not there is a formal agreement.</w:t>
            </w:r>
            <w:r w:rsidR="00DA7CA1" w:rsidRPr="00CB0C5E">
              <w:t xml:space="preserve"> </w:t>
            </w:r>
            <w:r w:rsidR="00FA5C8C" w:rsidRPr="00CB0C5E">
              <w:t xml:space="preserve">NCQA terms it </w:t>
            </w:r>
            <w:r w:rsidR="00FA5C8C" w:rsidRPr="00CB0C5E">
              <w:rPr>
                <w:b/>
              </w:rPr>
              <w:t>de facto delegation</w:t>
            </w:r>
            <w:r w:rsidR="00FA5C8C" w:rsidRPr="00CB0C5E">
              <w:t xml:space="preserve"> when there is no formal agreement</w:t>
            </w:r>
            <w:r w:rsidR="00DB47E1" w:rsidRPr="00CB0C5E">
              <w:t>,</w:t>
            </w:r>
            <w:r w:rsidR="00FA5C8C" w:rsidRPr="00CB0C5E">
              <w:t xml:space="preserve"> but delegation exists.</w:t>
            </w:r>
          </w:p>
        </w:tc>
      </w:tr>
    </w:tbl>
    <w:p w:rsidR="00DE7937" w:rsidRPr="00CB0C5E" w:rsidRDefault="00DE7937">
      <w:pPr>
        <w:sectPr w:rsidR="00DE7937" w:rsidRPr="00CB0C5E" w:rsidSect="00744802">
          <w:pgSz w:w="12240" w:h="15840" w:code="1"/>
          <w:pgMar w:top="1080" w:right="1440" w:bottom="1080" w:left="1440"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80" w:type="dxa"/>
          <w:right w:w="180" w:type="dxa"/>
        </w:tblCellMar>
        <w:tblLook w:val="0000" w:firstRow="0" w:lastRow="0" w:firstColumn="0" w:lastColumn="0" w:noHBand="0" w:noVBand="0"/>
      </w:tblPr>
      <w:tblGrid>
        <w:gridCol w:w="2005"/>
        <w:gridCol w:w="7535"/>
      </w:tblGrid>
      <w:tr w:rsidR="00C22158" w:rsidRPr="00CB0C5E" w:rsidTr="00B45B14">
        <w:tc>
          <w:tcPr>
            <w:tcW w:w="2005" w:type="dxa"/>
            <w:tcBorders>
              <w:top w:val="nil"/>
              <w:left w:val="nil"/>
              <w:bottom w:val="nil"/>
              <w:right w:val="nil"/>
            </w:tcBorders>
            <w:tcMar>
              <w:left w:w="115" w:type="dxa"/>
              <w:right w:w="115" w:type="dxa"/>
            </w:tcMar>
          </w:tcPr>
          <w:p w:rsidR="00C22158" w:rsidRPr="00CB0C5E" w:rsidRDefault="00C22158" w:rsidP="00FF4E33">
            <w:pPr>
              <w:pStyle w:val="MarginSubhead"/>
              <w:spacing w:before="0"/>
            </w:pPr>
            <w:r w:rsidRPr="00CB0C5E">
              <w:lastRenderedPageBreak/>
              <w:t>De facto delegation</w:t>
            </w:r>
          </w:p>
        </w:tc>
        <w:tc>
          <w:tcPr>
            <w:tcW w:w="7535" w:type="dxa"/>
            <w:tcBorders>
              <w:top w:val="nil"/>
              <w:left w:val="nil"/>
              <w:bottom w:val="nil"/>
              <w:right w:val="nil"/>
            </w:tcBorders>
            <w:tcMar>
              <w:left w:w="115" w:type="dxa"/>
              <w:right w:w="115" w:type="dxa"/>
            </w:tcMar>
          </w:tcPr>
          <w:p w:rsidR="00C22158" w:rsidRPr="00CB0C5E" w:rsidRDefault="00C22158" w:rsidP="00FF4E33">
            <w:pPr>
              <w:pStyle w:val="Body"/>
              <w:spacing w:before="0"/>
            </w:pPr>
            <w:r w:rsidRPr="00CB0C5E">
              <w:t>There may be instances in which NCQA concludes that de facto delegation exists in th</w:t>
            </w:r>
            <w:r w:rsidR="001D700E" w:rsidRPr="00CB0C5E">
              <w:t>e absence of a formal agreement, as in the following examples.</w:t>
            </w:r>
          </w:p>
          <w:p w:rsidR="00C22158" w:rsidRPr="00CB0C5E" w:rsidRDefault="00C22158" w:rsidP="001D700E">
            <w:pPr>
              <w:pStyle w:val="Bullet"/>
            </w:pPr>
            <w:r w:rsidRPr="00CB0C5E">
              <w:t xml:space="preserve">When a medical group performs utilization review activities that, if performed by the organization, would be subject to NCQA standards, NCQA assesses the activities as delegation, even if the organization does not have an agreement </w:t>
            </w:r>
            <w:r w:rsidR="001D700E" w:rsidRPr="00CB0C5E">
              <w:t>in place with the medical group</w:t>
            </w:r>
            <w:r w:rsidR="00FF4E33" w:rsidRPr="00CB0C5E">
              <w:t>.</w:t>
            </w:r>
          </w:p>
          <w:p w:rsidR="00C22158" w:rsidRPr="00CB0C5E" w:rsidRDefault="00C22158" w:rsidP="001D700E">
            <w:pPr>
              <w:pStyle w:val="Bullet"/>
            </w:pPr>
            <w:r w:rsidRPr="00CB0C5E">
              <w:t>If the utilization management (UM) function affects patient care, it is delegation, even if the organization does not know it is being perfor</w:t>
            </w:r>
            <w:r w:rsidR="001D700E" w:rsidRPr="00CB0C5E">
              <w:t>med</w:t>
            </w:r>
            <w:r w:rsidR="00FF4E33" w:rsidRPr="00CB0C5E">
              <w:t>.</w:t>
            </w:r>
          </w:p>
          <w:p w:rsidR="00C22158" w:rsidRPr="00CB0C5E" w:rsidRDefault="00C22158" w:rsidP="00C22158">
            <w:pPr>
              <w:pStyle w:val="Body"/>
            </w:pPr>
            <w:r w:rsidRPr="00CB0C5E">
              <w:t>Delegation often occurs with the transfer of financial risk, but there may be transfer of risk without delegation, and vice versa. Delegation is often associated wit</w:t>
            </w:r>
            <w:r w:rsidR="001D700E" w:rsidRPr="00CB0C5E">
              <w:t xml:space="preserve">h services that could be carved </w:t>
            </w:r>
            <w:r w:rsidRPr="00CB0C5E">
              <w:t>out, such as behavioral health</w:t>
            </w:r>
            <w:r w:rsidR="00FF4E33" w:rsidRPr="00CB0C5E">
              <w:t>care</w:t>
            </w:r>
            <w:r w:rsidRPr="00CB0C5E">
              <w:t xml:space="preserve"> or specialty services; however, the presence of an exclusive contract between the organization and another entity does not automatically mean that the organization delegates activities.</w:t>
            </w:r>
          </w:p>
        </w:tc>
      </w:tr>
      <w:tr w:rsidR="00722D8D" w:rsidRPr="00CB0C5E" w:rsidTr="00B45B14">
        <w:tc>
          <w:tcPr>
            <w:tcW w:w="2005" w:type="dxa"/>
            <w:tcBorders>
              <w:top w:val="nil"/>
              <w:left w:val="nil"/>
              <w:bottom w:val="nil"/>
              <w:right w:val="nil"/>
            </w:tcBorders>
            <w:tcMar>
              <w:left w:w="115" w:type="dxa"/>
              <w:right w:w="115" w:type="dxa"/>
            </w:tcMar>
          </w:tcPr>
          <w:p w:rsidR="00722D8D" w:rsidRPr="00CB0C5E" w:rsidRDefault="00722D8D">
            <w:pPr>
              <w:pStyle w:val="MarginSubhead"/>
            </w:pPr>
            <w:r w:rsidRPr="00CB0C5E">
              <w:t>Mutual benefits of delegation</w:t>
            </w:r>
          </w:p>
        </w:tc>
        <w:tc>
          <w:tcPr>
            <w:tcW w:w="7535" w:type="dxa"/>
            <w:tcBorders>
              <w:top w:val="nil"/>
              <w:left w:val="nil"/>
              <w:bottom w:val="nil"/>
              <w:right w:val="nil"/>
            </w:tcBorders>
            <w:tcMar>
              <w:left w:w="115" w:type="dxa"/>
              <w:right w:w="115" w:type="dxa"/>
            </w:tcMar>
          </w:tcPr>
          <w:p w:rsidR="00722D8D" w:rsidRPr="00CB0C5E" w:rsidRDefault="00722D8D">
            <w:pPr>
              <w:pStyle w:val="Body"/>
            </w:pPr>
            <w:r w:rsidRPr="00CB0C5E">
              <w:t xml:space="preserve">Organizations are often inclined to delegate if the arrangement potentially allows better use of resources or if it may result in better care and service for members. Medical groups, IPAs and provider organizations that assume risk through capitation or other risk-sharing arrangements often independently perform many functions required to meet the intent of NCQA standards. Many of these entities seek to have organizations delegate functions to them so that they can retain control over services that affect their patients and practitioners and to reduce redundancy of effort and oversight. </w:t>
            </w:r>
          </w:p>
          <w:p w:rsidR="00722D8D" w:rsidRPr="00CB0C5E" w:rsidRDefault="00722D8D" w:rsidP="00FF4E33">
            <w:pPr>
              <w:pStyle w:val="Body"/>
            </w:pPr>
            <w:r w:rsidRPr="00CB0C5E">
              <w:t>Medical groups, IPAs and provider organizations may continue to perform concurrent activities</w:t>
            </w:r>
            <w:r w:rsidR="00FF4E33" w:rsidRPr="00CB0C5E">
              <w:t>,</w:t>
            </w:r>
            <w:r w:rsidRPr="00CB0C5E">
              <w:t xml:space="preserve"> regardless of whether the organization has delegated these functions to them. NCQA reviews the organization</w:t>
            </w:r>
            <w:r w:rsidR="007E6C70">
              <w:t>’</w:t>
            </w:r>
            <w:r w:rsidRPr="00CB0C5E">
              <w:t>s oversight and the entity</w:t>
            </w:r>
            <w:r w:rsidR="007E6C70">
              <w:t>’</w:t>
            </w:r>
            <w:r w:rsidRPr="00CB0C5E">
              <w:t>s performance of such activities only if it determines that delegation exists. For example, a medical group may perform quality activities of its own choice and under its own direction, in addition to those performed by the organization. In this case, NCQA does not review the medical group</w:t>
            </w:r>
            <w:r w:rsidR="007E6C70">
              <w:t>’</w:t>
            </w:r>
            <w:r w:rsidRPr="00CB0C5E">
              <w:t>s concurrent quality improvement efforts, but evaluates only the organization</w:t>
            </w:r>
            <w:r w:rsidR="007E6C70">
              <w:t>’</w:t>
            </w:r>
            <w:r w:rsidRPr="00CB0C5E">
              <w:t>s ability to meet the standards.</w:t>
            </w:r>
          </w:p>
        </w:tc>
      </w:tr>
      <w:tr w:rsidR="002F3F9D" w:rsidRPr="00CB0C5E" w:rsidTr="00B45B14">
        <w:tc>
          <w:tcPr>
            <w:tcW w:w="2005" w:type="dxa"/>
            <w:tcBorders>
              <w:top w:val="nil"/>
              <w:left w:val="nil"/>
              <w:bottom w:val="nil"/>
              <w:right w:val="nil"/>
            </w:tcBorders>
            <w:tcMar>
              <w:left w:w="115" w:type="dxa"/>
              <w:right w:w="115" w:type="dxa"/>
            </w:tcMar>
          </w:tcPr>
          <w:p w:rsidR="002F3F9D" w:rsidRPr="00CB0C5E" w:rsidRDefault="002F3F9D">
            <w:pPr>
              <w:pStyle w:val="MarginSubhead"/>
            </w:pPr>
            <w:r>
              <w:t>Carve-outs</w:t>
            </w:r>
          </w:p>
        </w:tc>
        <w:tc>
          <w:tcPr>
            <w:tcW w:w="7535" w:type="dxa"/>
            <w:tcBorders>
              <w:top w:val="nil"/>
              <w:left w:val="nil"/>
              <w:bottom w:val="nil"/>
              <w:right w:val="nil"/>
            </w:tcBorders>
            <w:tcMar>
              <w:left w:w="115" w:type="dxa"/>
              <w:right w:w="115" w:type="dxa"/>
            </w:tcMar>
          </w:tcPr>
          <w:p w:rsidR="002F3F9D" w:rsidRPr="002F3F9D" w:rsidRDefault="002F3F9D">
            <w:pPr>
              <w:pStyle w:val="Body"/>
              <w:rPr>
                <w:rFonts w:cs="Arial"/>
              </w:rPr>
            </w:pPr>
            <w:r w:rsidRPr="002F3F9D">
              <w:rPr>
                <w:rFonts w:cs="Arial"/>
                <w:color w:val="000000"/>
                <w:szCs w:val="20"/>
              </w:rPr>
              <w:t>Carve-outs are not considered delegation. Carve-outs occur when a payer (e.g., employer, Medicaid, Medicare) excludes a health care program focused on a specific disease or service from its benefits plan and makes another entity responsible for running the program or offering the service. For example, a state Medicaid program “carves out” behavioral healthcare services (i.e., prohibits health plans from providing them) and contracts with an MBHO to provide them; an employer contracts with a DM organization to provide disease management services to its employees with diabetes. In these cases the organization has no authority or responsibility for the services.</w:t>
            </w:r>
          </w:p>
        </w:tc>
      </w:tr>
    </w:tbl>
    <w:p w:rsidR="002F3F9D" w:rsidRDefault="002F3F9D">
      <w:pPr>
        <w:rPr>
          <w:b/>
          <w:color w:val="FFFFFF"/>
          <w:szCs w:val="28"/>
        </w:rPr>
      </w:pPr>
    </w:p>
    <w:p w:rsidR="00071991" w:rsidRDefault="00071991">
      <w:pPr>
        <w:rPr>
          <w:b/>
          <w:color w:val="FFFFFF"/>
          <w:szCs w:val="28"/>
        </w:rPr>
        <w:sectPr w:rsidR="00071991" w:rsidSect="00744802">
          <w:pgSz w:w="12240" w:h="15840" w:code="1"/>
          <w:pgMar w:top="1080" w:right="1440" w:bottom="1080" w:left="1440" w:header="720" w:footer="720" w:gutter="0"/>
          <w:cols w:space="720"/>
        </w:sectPr>
      </w:pPr>
    </w:p>
    <w:p w:rsidR="006E285B" w:rsidRPr="00CB0C5E" w:rsidRDefault="006E285B" w:rsidP="00071991">
      <w:pPr>
        <w:pStyle w:val="StdHead"/>
        <w:spacing w:before="0"/>
      </w:pPr>
      <w:r w:rsidRPr="00CB0C5E">
        <w:lastRenderedPageBreak/>
        <w:t>Typical Delegation Arrangements</w:t>
      </w:r>
    </w:p>
    <w:tbl>
      <w:tblPr>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80" w:type="dxa"/>
          <w:right w:w="180" w:type="dxa"/>
        </w:tblCellMar>
        <w:tblLook w:val="0000" w:firstRow="0" w:lastRow="0" w:firstColumn="0" w:lastColumn="0" w:noHBand="0" w:noVBand="0"/>
      </w:tblPr>
      <w:tblGrid>
        <w:gridCol w:w="2185"/>
        <w:gridCol w:w="7355"/>
      </w:tblGrid>
      <w:tr w:rsidR="006E285B" w:rsidRPr="00CB0C5E" w:rsidTr="00071991">
        <w:tc>
          <w:tcPr>
            <w:tcW w:w="2185" w:type="dxa"/>
            <w:tcBorders>
              <w:top w:val="nil"/>
              <w:left w:val="nil"/>
              <w:bottom w:val="nil"/>
              <w:right w:val="nil"/>
            </w:tcBorders>
            <w:tcMar>
              <w:left w:w="115" w:type="dxa"/>
              <w:right w:w="115" w:type="dxa"/>
            </w:tcMar>
          </w:tcPr>
          <w:p w:rsidR="006E285B" w:rsidRPr="00CB0C5E" w:rsidRDefault="006E285B">
            <w:pPr>
              <w:pStyle w:val="MarginSubhead"/>
            </w:pPr>
            <w:r w:rsidRPr="00CB0C5E">
              <w:t>Most common delegation arrangements</w:t>
            </w:r>
          </w:p>
        </w:tc>
        <w:tc>
          <w:tcPr>
            <w:tcW w:w="7355" w:type="dxa"/>
            <w:tcBorders>
              <w:top w:val="nil"/>
              <w:left w:val="nil"/>
              <w:bottom w:val="nil"/>
              <w:right w:val="nil"/>
            </w:tcBorders>
            <w:tcMar>
              <w:left w:w="115" w:type="dxa"/>
              <w:right w:w="115" w:type="dxa"/>
            </w:tcMar>
          </w:tcPr>
          <w:p w:rsidR="006E285B" w:rsidRPr="00CB0C5E" w:rsidRDefault="006E285B">
            <w:pPr>
              <w:pStyle w:val="Body"/>
            </w:pPr>
            <w:r w:rsidRPr="00CB0C5E">
              <w:t>The most common delegation arrangements are between organizations and primary, specialty and multispecialty medical groups, IPAs, managed behavioral healthcare organization</w:t>
            </w:r>
            <w:r w:rsidR="007F445A" w:rsidRPr="00CB0C5E">
              <w:t>s</w:t>
            </w:r>
            <w:r w:rsidRPr="00CB0C5E">
              <w:t xml:space="preserve"> </w:t>
            </w:r>
            <w:r w:rsidR="00C22158" w:rsidRPr="00CB0C5E">
              <w:t>(</w:t>
            </w:r>
            <w:r w:rsidRPr="00CB0C5E">
              <w:t>MBHO</w:t>
            </w:r>
            <w:r w:rsidR="00C22158" w:rsidRPr="00CB0C5E">
              <w:t>)</w:t>
            </w:r>
            <w:r w:rsidRPr="00CB0C5E">
              <w:t xml:space="preserve">, hospitals, credentialing verification organizations (CVO) and disease management (DM) organizations. </w:t>
            </w:r>
          </w:p>
        </w:tc>
      </w:tr>
      <w:tr w:rsidR="006E285B" w:rsidRPr="00CB0C5E" w:rsidTr="00071991">
        <w:tc>
          <w:tcPr>
            <w:tcW w:w="2185" w:type="dxa"/>
            <w:tcBorders>
              <w:top w:val="nil"/>
              <w:left w:val="nil"/>
              <w:bottom w:val="nil"/>
              <w:right w:val="nil"/>
            </w:tcBorders>
            <w:tcMar>
              <w:left w:w="115" w:type="dxa"/>
              <w:right w:w="115" w:type="dxa"/>
            </w:tcMar>
          </w:tcPr>
          <w:p w:rsidR="006E285B" w:rsidRPr="00CB0C5E" w:rsidRDefault="006E285B">
            <w:pPr>
              <w:pStyle w:val="MarginSubhead"/>
            </w:pPr>
            <w:r w:rsidRPr="00CB0C5E">
              <w:t>Most frequently delegated functions</w:t>
            </w:r>
          </w:p>
        </w:tc>
        <w:tc>
          <w:tcPr>
            <w:tcW w:w="7355" w:type="dxa"/>
            <w:tcBorders>
              <w:top w:val="nil"/>
              <w:left w:val="nil"/>
              <w:bottom w:val="nil"/>
              <w:right w:val="nil"/>
            </w:tcBorders>
            <w:tcMar>
              <w:left w:w="115" w:type="dxa"/>
              <w:right w:w="115" w:type="dxa"/>
            </w:tcMar>
          </w:tcPr>
          <w:p w:rsidR="006E285B" w:rsidRPr="00CB0C5E" w:rsidRDefault="006E285B">
            <w:pPr>
              <w:pStyle w:val="Body"/>
            </w:pPr>
            <w:r w:rsidRPr="00CB0C5E">
              <w:t xml:space="preserve">The most frequently delegated functions to medical groups and IPAs are UM and CR. Organizations frequently delegate member services functions, such as handling of complaints and appeals. </w:t>
            </w:r>
            <w:r w:rsidR="00C7386A" w:rsidRPr="00CB0C5E">
              <w:t>The organization can outline clear performance goals and oversight guidelines for delegates for these areas</w:t>
            </w:r>
            <w:r w:rsidRPr="00CB0C5E">
              <w:t>.</w:t>
            </w:r>
          </w:p>
        </w:tc>
      </w:tr>
      <w:tr w:rsidR="00B45B14" w:rsidRPr="00CB0C5E" w:rsidTr="00071991">
        <w:tc>
          <w:tcPr>
            <w:tcW w:w="2185" w:type="dxa"/>
            <w:tcBorders>
              <w:top w:val="nil"/>
              <w:left w:val="nil"/>
              <w:bottom w:val="nil"/>
              <w:right w:val="nil"/>
            </w:tcBorders>
            <w:tcMar>
              <w:left w:w="115" w:type="dxa"/>
              <w:right w:w="115" w:type="dxa"/>
            </w:tcMar>
          </w:tcPr>
          <w:p w:rsidR="00B45B14" w:rsidRPr="00CB0C5E" w:rsidRDefault="00B45B14">
            <w:pPr>
              <w:pStyle w:val="MarginSubhead"/>
            </w:pPr>
            <w:r w:rsidRPr="00CB0C5E">
              <w:t>Less frequently delegated functions</w:t>
            </w:r>
          </w:p>
        </w:tc>
        <w:tc>
          <w:tcPr>
            <w:tcW w:w="7355" w:type="dxa"/>
            <w:tcBorders>
              <w:top w:val="nil"/>
              <w:left w:val="nil"/>
              <w:bottom w:val="nil"/>
              <w:right w:val="nil"/>
            </w:tcBorders>
            <w:tcMar>
              <w:left w:w="115" w:type="dxa"/>
              <w:right w:w="115" w:type="dxa"/>
            </w:tcMar>
          </w:tcPr>
          <w:p w:rsidR="00B45B14" w:rsidRPr="00CB0C5E" w:rsidRDefault="00B45B14" w:rsidP="00B45B14">
            <w:pPr>
              <w:pStyle w:val="Body"/>
            </w:pPr>
            <w:r w:rsidRPr="00CB0C5E">
              <w:t>QI functions may also be delegated, although the coordination required makes this situation less common. Some organizations delegate quality functions to behavioral health organizations, which typically have authority for managing care for a sizable portion of the health plan</w:t>
            </w:r>
            <w:r w:rsidR="007E6C70">
              <w:t>’</w:t>
            </w:r>
            <w:r w:rsidRPr="00CB0C5E">
              <w:t xml:space="preserve">s population. </w:t>
            </w:r>
          </w:p>
          <w:p w:rsidR="00B45B14" w:rsidRPr="00CB0C5E" w:rsidRDefault="00B45B14" w:rsidP="00B45B14">
            <w:pPr>
              <w:pStyle w:val="Body"/>
            </w:pPr>
            <w:r w:rsidRPr="00CB0C5E">
              <w:t>Delegation of quality functions to other types of medical organizations, including medical groups and IPAs, usually involves subsets of the organization</w:t>
            </w:r>
            <w:r w:rsidR="007E6C70">
              <w:t>’</w:t>
            </w:r>
            <w:r w:rsidRPr="00CB0C5E">
              <w:t>s population. Because the organization must demonstrate accountability for quality activities that cover relevant topics for major portions of its overall membership, coordination of multiple QI programs poses unique challenges.</w:t>
            </w:r>
          </w:p>
        </w:tc>
      </w:tr>
      <w:tr w:rsidR="002F3F9D" w:rsidRPr="00CB0C5E" w:rsidTr="00071991">
        <w:tc>
          <w:tcPr>
            <w:tcW w:w="2185" w:type="dxa"/>
            <w:tcBorders>
              <w:top w:val="nil"/>
              <w:left w:val="nil"/>
              <w:bottom w:val="nil"/>
              <w:right w:val="nil"/>
            </w:tcBorders>
            <w:tcMar>
              <w:left w:w="115" w:type="dxa"/>
              <w:right w:w="115" w:type="dxa"/>
            </w:tcMar>
          </w:tcPr>
          <w:p w:rsidR="002F3F9D" w:rsidRPr="00071991" w:rsidRDefault="002F3F9D" w:rsidP="00071991">
            <w:pPr>
              <w:pStyle w:val="MarginSubhead"/>
            </w:pPr>
            <w:r w:rsidRPr="00071991">
              <w:t>Delegates located outside of the United States</w:t>
            </w:r>
          </w:p>
        </w:tc>
        <w:tc>
          <w:tcPr>
            <w:tcW w:w="7355" w:type="dxa"/>
            <w:tcBorders>
              <w:top w:val="nil"/>
              <w:left w:val="nil"/>
              <w:bottom w:val="nil"/>
              <w:right w:val="nil"/>
            </w:tcBorders>
            <w:tcMar>
              <w:left w:w="115" w:type="dxa"/>
              <w:right w:w="115" w:type="dxa"/>
            </w:tcMar>
          </w:tcPr>
          <w:p w:rsidR="002F3F9D" w:rsidRPr="00071991" w:rsidRDefault="002F3F9D" w:rsidP="00071991">
            <w:pPr>
              <w:pStyle w:val="Body"/>
            </w:pPr>
            <w:r w:rsidRPr="00071991">
              <w:t>Organizations seeking NCQA accreditatio</w:t>
            </w:r>
            <w:r w:rsidR="00071991">
              <w:t xml:space="preserve">n or Certification may delegate to out-of-country entities, but </w:t>
            </w:r>
            <w:r w:rsidRPr="00071991">
              <w:t>the client organization must base its operations within United States or its territories.</w:t>
            </w:r>
          </w:p>
        </w:tc>
      </w:tr>
    </w:tbl>
    <w:p w:rsidR="00B45B14" w:rsidRPr="00CB0C5E" w:rsidRDefault="00B45B14">
      <w:pPr>
        <w:sectPr w:rsidR="00B45B14" w:rsidRPr="00CB0C5E" w:rsidSect="00744802">
          <w:pgSz w:w="12240" w:h="15840" w:code="1"/>
          <w:pgMar w:top="1080" w:right="1440" w:bottom="1080" w:left="1440" w:header="720" w:footer="720" w:gutter="0"/>
          <w:cols w:space="720"/>
        </w:sectPr>
      </w:pPr>
    </w:p>
    <w:p w:rsidR="006E285B" w:rsidRPr="00CB0C5E" w:rsidRDefault="006E285B" w:rsidP="00B45B14">
      <w:pPr>
        <w:pStyle w:val="StdHead"/>
        <w:spacing w:before="0"/>
      </w:pPr>
      <w:r w:rsidRPr="00CB0C5E">
        <w:lastRenderedPageBreak/>
        <w:t>Identifying Delegation</w:t>
      </w:r>
    </w:p>
    <w:p w:rsidR="00151205" w:rsidRPr="00CB0C5E" w:rsidRDefault="006E285B" w:rsidP="00151205">
      <w:pPr>
        <w:pStyle w:val="Body"/>
      </w:pPr>
      <w:r w:rsidRPr="00CB0C5E">
        <w:t>It is impossible to describe all potentially delegated and nondelegated arrangements</w:t>
      </w:r>
      <w:r w:rsidR="00151205" w:rsidRPr="00CB0C5E">
        <w:t xml:space="preserve">. The diagrams on the following two pages illustrate key questions asked when determining whether delegation exists. </w:t>
      </w:r>
    </w:p>
    <w:p w:rsidR="00151205" w:rsidRPr="00CB0C5E" w:rsidRDefault="00050404" w:rsidP="00151205">
      <w:pPr>
        <w:pStyle w:val="Body"/>
      </w:pPr>
      <w:r w:rsidRPr="00CB0C5E">
        <w:object w:dxaOrig="8876" w:dyaOrig="9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7pt;height:493.1pt" o:ole="">
            <v:imagedata r:id="rId18" o:title=""/>
          </v:shape>
          <o:OLEObject Type="Embed" ProgID="Visio.Drawing.11" ShapeID="_x0000_i1025" DrawAspect="Content" ObjectID="_1476611049" r:id="rId19"/>
        </w:object>
      </w:r>
    </w:p>
    <w:p w:rsidR="00CC62D3" w:rsidRPr="00CB0C5E" w:rsidRDefault="00CC62D3" w:rsidP="00151205">
      <w:pPr>
        <w:pStyle w:val="Body"/>
      </w:pPr>
    </w:p>
    <w:p w:rsidR="00CC62D3" w:rsidRPr="00CB0C5E" w:rsidRDefault="00CC62D3" w:rsidP="00151205">
      <w:pPr>
        <w:pStyle w:val="Body"/>
      </w:pPr>
    </w:p>
    <w:p w:rsidR="00CC62D3" w:rsidRPr="00CB0C5E" w:rsidRDefault="00CC62D3" w:rsidP="00151205">
      <w:pPr>
        <w:pStyle w:val="Body"/>
      </w:pPr>
    </w:p>
    <w:p w:rsidR="00CC62D3" w:rsidRPr="00CB0C5E" w:rsidRDefault="00CC62D3" w:rsidP="00151205">
      <w:pPr>
        <w:pStyle w:val="Body"/>
      </w:pPr>
    </w:p>
    <w:p w:rsidR="00151205" w:rsidRPr="00CB0C5E" w:rsidRDefault="00151205" w:rsidP="00151205">
      <w:pPr>
        <w:pStyle w:val="Body"/>
        <w:sectPr w:rsidR="00151205" w:rsidRPr="00CB0C5E" w:rsidSect="00744802">
          <w:pgSz w:w="12240" w:h="15840" w:code="1"/>
          <w:pgMar w:top="1080" w:right="1440" w:bottom="1080" w:left="1440" w:header="720" w:footer="720" w:gutter="0"/>
          <w:cols w:space="720"/>
        </w:sectPr>
      </w:pPr>
    </w:p>
    <w:p w:rsidR="00CC62D3" w:rsidRPr="00CB0C5E" w:rsidRDefault="003115EE" w:rsidP="00CC62D3">
      <w:pPr>
        <w:pStyle w:val="MainHead"/>
        <w:pBdr>
          <w:bottom w:val="none" w:sz="0" w:space="0" w:color="auto"/>
        </w:pBdr>
        <w:tabs>
          <w:tab w:val="clear" w:pos="9720"/>
          <w:tab w:val="right" w:pos="9450"/>
        </w:tabs>
        <w:ind w:left="270" w:right="-90"/>
      </w:pPr>
      <w:r>
        <w:rPr>
          <w:noProof/>
        </w:rPr>
        <w:lastRenderedPageBreak/>
        <w:drawing>
          <wp:anchor distT="0" distB="0" distL="114300" distR="114300" simplePos="0" relativeHeight="251660800" behindDoc="1" locked="0" layoutInCell="1" allowOverlap="1">
            <wp:simplePos x="0" y="0"/>
            <wp:positionH relativeFrom="column">
              <wp:posOffset>107315</wp:posOffset>
            </wp:positionH>
            <wp:positionV relativeFrom="paragraph">
              <wp:posOffset>44450</wp:posOffset>
            </wp:positionV>
            <wp:extent cx="5422265" cy="6265545"/>
            <wp:effectExtent l="0" t="0" r="6985" b="0"/>
            <wp:wrapThrough wrapText="bothSides">
              <wp:wrapPolygon edited="0">
                <wp:start x="2277" y="0"/>
                <wp:lineTo x="2277" y="1576"/>
                <wp:lineTo x="3946" y="2167"/>
                <wp:lineTo x="5160" y="2167"/>
                <wp:lineTo x="5160" y="5057"/>
                <wp:lineTo x="6071" y="5320"/>
                <wp:lineTo x="8499" y="5320"/>
                <wp:lineTo x="7816" y="6370"/>
                <wp:lineTo x="8803" y="7421"/>
                <wp:lineTo x="7665" y="8472"/>
                <wp:lineTo x="7589" y="8603"/>
                <wp:lineTo x="8044" y="9063"/>
                <wp:lineTo x="8651" y="9523"/>
                <wp:lineTo x="8651" y="9917"/>
                <wp:lineTo x="10624" y="10573"/>
                <wp:lineTo x="11763" y="10573"/>
                <wp:lineTo x="11763" y="11624"/>
                <wp:lineTo x="13584" y="12675"/>
                <wp:lineTo x="13356" y="13332"/>
                <wp:lineTo x="13432" y="13660"/>
                <wp:lineTo x="13736" y="13726"/>
                <wp:lineTo x="13280" y="14777"/>
                <wp:lineTo x="12066" y="15827"/>
                <wp:lineTo x="13963" y="17535"/>
                <wp:lineTo x="19124" y="17535"/>
                <wp:lineTo x="21021" y="15827"/>
                <wp:lineTo x="19807" y="14777"/>
                <wp:lineTo x="19275" y="13726"/>
                <wp:lineTo x="19655" y="13726"/>
                <wp:lineTo x="19731" y="13266"/>
                <wp:lineTo x="19503" y="12675"/>
                <wp:lineTo x="21324" y="11624"/>
                <wp:lineTo x="21476" y="7027"/>
                <wp:lineTo x="21097" y="6896"/>
                <wp:lineTo x="18820" y="6370"/>
                <wp:lineTo x="18516" y="5779"/>
                <wp:lineTo x="18137" y="5320"/>
                <wp:lineTo x="20641" y="5320"/>
                <wp:lineTo x="21552" y="5057"/>
                <wp:lineTo x="21552" y="1708"/>
                <wp:lineTo x="21248" y="1576"/>
                <wp:lineTo x="19807" y="1116"/>
                <wp:lineTo x="19731" y="394"/>
                <wp:lineTo x="19427" y="0"/>
                <wp:lineTo x="2277"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2265" cy="6265545"/>
                    </a:xfrm>
                    <a:prstGeom prst="rect">
                      <a:avLst/>
                    </a:prstGeom>
                    <a:noFill/>
                  </pic:spPr>
                </pic:pic>
              </a:graphicData>
            </a:graphic>
          </wp:anchor>
        </w:drawing>
      </w:r>
    </w:p>
    <w:p w:rsidR="00CC62D3" w:rsidRPr="00CB0C5E" w:rsidRDefault="00CC62D3" w:rsidP="00CC62D3">
      <w:pPr>
        <w:pStyle w:val="MainHead"/>
        <w:pBdr>
          <w:bottom w:val="none" w:sz="0" w:space="0" w:color="auto"/>
        </w:pBdr>
        <w:tabs>
          <w:tab w:val="clear" w:pos="9720"/>
          <w:tab w:val="right" w:pos="9450"/>
        </w:tabs>
        <w:ind w:left="270" w:right="-90"/>
      </w:pPr>
    </w:p>
    <w:p w:rsidR="006358AA" w:rsidRPr="00CB0C5E" w:rsidRDefault="006358AA" w:rsidP="00CC62D3">
      <w:pPr>
        <w:pStyle w:val="MainHead"/>
        <w:pBdr>
          <w:bottom w:val="none" w:sz="0" w:space="0" w:color="auto"/>
        </w:pBdr>
        <w:tabs>
          <w:tab w:val="clear" w:pos="9720"/>
          <w:tab w:val="right" w:pos="9450"/>
        </w:tabs>
        <w:ind w:left="270" w:right="-90"/>
      </w:pPr>
    </w:p>
    <w:p w:rsidR="00CC62D3" w:rsidRPr="00CB0C5E" w:rsidRDefault="00CC62D3" w:rsidP="00CC62D3">
      <w:pPr>
        <w:pStyle w:val="MainHead"/>
        <w:pBdr>
          <w:bottom w:val="none" w:sz="0" w:space="0" w:color="auto"/>
        </w:pBdr>
        <w:tabs>
          <w:tab w:val="clear" w:pos="9720"/>
          <w:tab w:val="right" w:pos="9450"/>
        </w:tabs>
        <w:ind w:left="270" w:right="-90"/>
      </w:pPr>
    </w:p>
    <w:p w:rsidR="00CC62D3" w:rsidRPr="00CB0C5E" w:rsidRDefault="00CC62D3" w:rsidP="00CC62D3">
      <w:pPr>
        <w:pStyle w:val="MainHead"/>
        <w:pBdr>
          <w:bottom w:val="none" w:sz="0" w:space="0" w:color="auto"/>
        </w:pBdr>
        <w:tabs>
          <w:tab w:val="clear" w:pos="9720"/>
          <w:tab w:val="right" w:pos="9450"/>
        </w:tabs>
        <w:ind w:left="270" w:right="-90"/>
      </w:pPr>
    </w:p>
    <w:p w:rsidR="00CC62D3" w:rsidRPr="00CB0C5E" w:rsidRDefault="00CC62D3" w:rsidP="00CC62D3">
      <w:pPr>
        <w:pStyle w:val="MainHead"/>
        <w:pBdr>
          <w:bottom w:val="none" w:sz="0" w:space="0" w:color="auto"/>
        </w:pBdr>
        <w:tabs>
          <w:tab w:val="clear" w:pos="9720"/>
          <w:tab w:val="right" w:pos="9450"/>
        </w:tabs>
        <w:ind w:left="270" w:right="-90"/>
      </w:pPr>
    </w:p>
    <w:p w:rsidR="00CC62D3" w:rsidRPr="00CB0C5E" w:rsidRDefault="00CC62D3" w:rsidP="00CC62D3">
      <w:pPr>
        <w:pStyle w:val="MainHead"/>
        <w:pBdr>
          <w:bottom w:val="none" w:sz="0" w:space="0" w:color="auto"/>
        </w:pBdr>
        <w:tabs>
          <w:tab w:val="clear" w:pos="9720"/>
          <w:tab w:val="right" w:pos="9450"/>
        </w:tabs>
        <w:ind w:left="270" w:right="-90"/>
      </w:pPr>
    </w:p>
    <w:p w:rsidR="00CC62D3" w:rsidRPr="00CB0C5E" w:rsidRDefault="00CC62D3" w:rsidP="00CC62D3">
      <w:pPr>
        <w:pStyle w:val="MainHead"/>
        <w:pBdr>
          <w:bottom w:val="none" w:sz="0" w:space="0" w:color="auto"/>
        </w:pBdr>
        <w:tabs>
          <w:tab w:val="clear" w:pos="9720"/>
          <w:tab w:val="right" w:pos="9450"/>
        </w:tabs>
        <w:ind w:left="270" w:right="-90"/>
      </w:pPr>
    </w:p>
    <w:p w:rsidR="00CC62D3" w:rsidRPr="00CB0C5E" w:rsidRDefault="00CC62D3" w:rsidP="00CC62D3">
      <w:pPr>
        <w:pStyle w:val="MainHead"/>
        <w:pBdr>
          <w:bottom w:val="none" w:sz="0" w:space="0" w:color="auto"/>
        </w:pBdr>
        <w:tabs>
          <w:tab w:val="clear" w:pos="9720"/>
          <w:tab w:val="right" w:pos="9450"/>
        </w:tabs>
        <w:ind w:left="270" w:right="-90"/>
      </w:pPr>
    </w:p>
    <w:p w:rsidR="00CC62D3" w:rsidRPr="00CB0C5E" w:rsidRDefault="00CC62D3" w:rsidP="00CC62D3">
      <w:pPr>
        <w:pStyle w:val="MainHead"/>
        <w:pBdr>
          <w:bottom w:val="none" w:sz="0" w:space="0" w:color="auto"/>
        </w:pBdr>
        <w:tabs>
          <w:tab w:val="clear" w:pos="9720"/>
          <w:tab w:val="right" w:pos="9450"/>
        </w:tabs>
        <w:ind w:left="270" w:right="-90"/>
      </w:pPr>
    </w:p>
    <w:p w:rsidR="00CC62D3" w:rsidRPr="00CB0C5E" w:rsidRDefault="00CC62D3" w:rsidP="00CC62D3">
      <w:pPr>
        <w:pStyle w:val="MainHead"/>
        <w:pBdr>
          <w:bottom w:val="none" w:sz="0" w:space="0" w:color="auto"/>
        </w:pBdr>
        <w:tabs>
          <w:tab w:val="clear" w:pos="9720"/>
          <w:tab w:val="right" w:pos="9450"/>
        </w:tabs>
        <w:ind w:left="270" w:right="-90"/>
      </w:pPr>
    </w:p>
    <w:p w:rsidR="00CC62D3" w:rsidRPr="00CB0C5E" w:rsidRDefault="00CC62D3" w:rsidP="00CC62D3">
      <w:pPr>
        <w:pStyle w:val="MainHead"/>
        <w:pBdr>
          <w:bottom w:val="none" w:sz="0" w:space="0" w:color="auto"/>
        </w:pBdr>
        <w:tabs>
          <w:tab w:val="clear" w:pos="9720"/>
          <w:tab w:val="right" w:pos="9450"/>
        </w:tabs>
        <w:ind w:left="270" w:right="-90"/>
      </w:pPr>
    </w:p>
    <w:p w:rsidR="00CC62D3" w:rsidRPr="00CB0C5E" w:rsidRDefault="00CC62D3" w:rsidP="00CC62D3">
      <w:pPr>
        <w:pStyle w:val="MainHead"/>
        <w:pBdr>
          <w:bottom w:val="none" w:sz="0" w:space="0" w:color="auto"/>
        </w:pBdr>
        <w:tabs>
          <w:tab w:val="clear" w:pos="9720"/>
          <w:tab w:val="right" w:pos="9450"/>
        </w:tabs>
        <w:ind w:left="270" w:right="-90"/>
      </w:pPr>
    </w:p>
    <w:p w:rsidR="00CC62D3" w:rsidRPr="00CB0C5E" w:rsidRDefault="00CC62D3" w:rsidP="00CC62D3">
      <w:pPr>
        <w:pStyle w:val="MainHead"/>
        <w:pBdr>
          <w:bottom w:val="none" w:sz="0" w:space="0" w:color="auto"/>
        </w:pBdr>
        <w:tabs>
          <w:tab w:val="clear" w:pos="9720"/>
          <w:tab w:val="right" w:pos="9450"/>
        </w:tabs>
        <w:ind w:left="270" w:right="-90"/>
      </w:pPr>
    </w:p>
    <w:p w:rsidR="00E675B7" w:rsidRPr="00CB0C5E" w:rsidRDefault="00E675B7" w:rsidP="00CC62D3">
      <w:pPr>
        <w:pStyle w:val="MainHead"/>
        <w:pBdr>
          <w:bottom w:val="none" w:sz="0" w:space="0" w:color="auto"/>
        </w:pBdr>
        <w:tabs>
          <w:tab w:val="clear" w:pos="9720"/>
          <w:tab w:val="right" w:pos="9450"/>
        </w:tabs>
        <w:ind w:left="270" w:right="-90"/>
      </w:pPr>
    </w:p>
    <w:p w:rsidR="006E285B" w:rsidRPr="00CB0C5E" w:rsidRDefault="00912929" w:rsidP="00B83101">
      <w:pPr>
        <w:pStyle w:val="StdHead"/>
        <w:spacing w:before="0"/>
      </w:pPr>
      <w:bookmarkStart w:id="0" w:name="_GoBack"/>
      <w:bookmarkEnd w:id="0"/>
      <w:r>
        <w:rPr>
          <w:noProof/>
          <w:sz w:val="20"/>
        </w:rPr>
        <mc:AlternateContent>
          <mc:Choice Requires="wps">
            <w:drawing>
              <wp:anchor distT="0" distB="0" distL="114300" distR="114300" simplePos="0" relativeHeight="251658240" behindDoc="0" locked="0" layoutInCell="1" allowOverlap="1">
                <wp:simplePos x="0" y="0"/>
                <wp:positionH relativeFrom="column">
                  <wp:posOffset>4404360</wp:posOffset>
                </wp:positionH>
                <wp:positionV relativeFrom="paragraph">
                  <wp:posOffset>6363335</wp:posOffset>
                </wp:positionV>
                <wp:extent cx="885825" cy="40005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00050"/>
                        </a:xfrm>
                        <a:prstGeom prst="rect">
                          <a:avLst/>
                        </a:prstGeom>
                        <a:noFill/>
                        <a:ln w="889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DA09F" id="Rectangle 3" o:spid="_x0000_s1026" style="position:absolute;margin-left:346.8pt;margin-top:501.05pt;width:69.7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" filled="f" strokecolor="white" strokeweight=".7pt"/>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-19685</wp:posOffset>
                </wp:positionH>
                <wp:positionV relativeFrom="paragraph">
                  <wp:posOffset>6473190</wp:posOffset>
                </wp:positionV>
                <wp:extent cx="1027430" cy="219710"/>
                <wp:effectExtent l="0" t="0" r="20320" b="279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19710"/>
                        </a:xfrm>
                        <a:prstGeom prst="rect">
                          <a:avLst/>
                        </a:prstGeom>
                        <a:noFill/>
                        <a:ln w="889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5F70" id="Rectangle 2" o:spid="_x0000_s1026" style="position:absolute;margin-left:-1.55pt;margin-top:509.7pt;width:80.9pt;height:1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" filled="f" strokecolor="white" strokeweight=".7pt"/>
            </w:pict>
          </mc:Fallback>
        </mc:AlternateContent>
      </w:r>
      <w:r w:rsidR="006E285B" w:rsidRPr="00CB0C5E">
        <w:t>The Scope of an NCQA Evaluation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80" w:type="dxa"/>
          <w:right w:w="180" w:type="dxa"/>
        </w:tblCellMar>
        <w:tblLook w:val="0000" w:firstRow="0" w:lastRow="0" w:firstColumn="0" w:lastColumn="0" w:noHBand="0" w:noVBand="0"/>
      </w:tblPr>
      <w:tblGrid>
        <w:gridCol w:w="1735"/>
        <w:gridCol w:w="7805"/>
        <w:gridCol w:w="25"/>
      </w:tblGrid>
      <w:tr w:rsidR="006E285B" w:rsidRPr="00CB0C5E" w:rsidTr="00CC62D3">
        <w:trPr>
          <w:gridAfter w:val="1"/>
          <w:wAfter w:w="25" w:type="dxa"/>
        </w:trPr>
        <w:tc>
          <w:tcPr>
            <w:tcW w:w="1735" w:type="dxa"/>
            <w:tcBorders>
              <w:top w:val="nil"/>
              <w:left w:val="nil"/>
              <w:bottom w:val="nil"/>
              <w:right w:val="nil"/>
            </w:tcBorders>
            <w:tcMar>
              <w:left w:w="115" w:type="dxa"/>
              <w:right w:w="115" w:type="dxa"/>
            </w:tcMar>
          </w:tcPr>
          <w:p w:rsidR="006E285B" w:rsidRPr="00CB0C5E" w:rsidRDefault="006E285B">
            <w:pPr>
              <w:pStyle w:val="MarginSubhead"/>
            </w:pPr>
            <w:r w:rsidRPr="00CB0C5E">
              <w:t>Evaluation limits</w:t>
            </w:r>
          </w:p>
        </w:tc>
        <w:tc>
          <w:tcPr>
            <w:tcW w:w="7805" w:type="dxa"/>
            <w:tcBorders>
              <w:top w:val="nil"/>
              <w:left w:val="nil"/>
              <w:bottom w:val="nil"/>
              <w:right w:val="nil"/>
            </w:tcBorders>
            <w:tcMar>
              <w:left w:w="115" w:type="dxa"/>
              <w:right w:w="115" w:type="dxa"/>
            </w:tcMar>
          </w:tcPr>
          <w:p w:rsidR="006E285B" w:rsidRPr="00CB0C5E" w:rsidRDefault="006E285B">
            <w:pPr>
              <w:pStyle w:val="Body"/>
            </w:pPr>
            <w:r w:rsidRPr="00CB0C5E">
              <w:t>NCQA currently limits the scope of its evaluation</w:t>
            </w:r>
            <w:r w:rsidR="006D4EB3" w:rsidRPr="00CB0C5E">
              <w:t xml:space="preserve"> of delegation oversight</w:t>
            </w:r>
            <w:r w:rsidRPr="00CB0C5E">
              <w:t xml:space="preserve"> to</w:t>
            </w:r>
            <w:r w:rsidR="00D71F29" w:rsidRPr="00CB0C5E">
              <w:t xml:space="preserve"> the following:</w:t>
            </w:r>
          </w:p>
          <w:p w:rsidR="006E285B" w:rsidRPr="00CB0C5E" w:rsidRDefault="001D700E">
            <w:pPr>
              <w:pStyle w:val="Bullet"/>
            </w:pPr>
            <w:r w:rsidRPr="00CB0C5E">
              <w:t>D</w:t>
            </w:r>
            <w:r w:rsidR="006E285B" w:rsidRPr="00CB0C5E">
              <w:t xml:space="preserve">elegates </w:t>
            </w:r>
            <w:r w:rsidR="00F44115" w:rsidRPr="00CB0C5E">
              <w:t>that</w:t>
            </w:r>
            <w:r w:rsidR="00DB03D2" w:rsidRPr="00CB0C5E">
              <w:t xml:space="preserve"> perform functions </w:t>
            </w:r>
            <w:r w:rsidR="00083D1F" w:rsidRPr="00CB0C5E">
              <w:t>required to meet</w:t>
            </w:r>
            <w:r w:rsidR="00DB03D2" w:rsidRPr="00CB0C5E">
              <w:t xml:space="preserve"> NCQA standards </w:t>
            </w:r>
            <w:r w:rsidR="00F32017" w:rsidRPr="00CB0C5E">
              <w:t>or</w:t>
            </w:r>
            <w:r w:rsidR="006E285B" w:rsidRPr="00CB0C5E">
              <w:t xml:space="preserve"> </w:t>
            </w:r>
            <w:r w:rsidR="00083D1F" w:rsidRPr="00CB0C5E">
              <w:t>that</w:t>
            </w:r>
            <w:r w:rsidR="00DB03D2" w:rsidRPr="00CB0C5E">
              <w:t xml:space="preserve"> </w:t>
            </w:r>
            <w:r w:rsidR="006E285B" w:rsidRPr="00CB0C5E">
              <w:t xml:space="preserve">provide services covered under the </w:t>
            </w:r>
            <w:r w:rsidR="006E285B" w:rsidRPr="00644F3F">
              <w:t>organization</w:t>
            </w:r>
            <w:r w:rsidR="007E6C70" w:rsidRPr="00644F3F">
              <w:t>’</w:t>
            </w:r>
            <w:r w:rsidR="006E285B" w:rsidRPr="00644F3F">
              <w:t xml:space="preserve">s </w:t>
            </w:r>
            <w:r w:rsidR="008A2F8D" w:rsidRPr="00644F3F">
              <w:t xml:space="preserve">medical </w:t>
            </w:r>
            <w:r w:rsidR="00DB03D2" w:rsidRPr="00CB0C5E">
              <w:t>benefit</w:t>
            </w:r>
            <w:r w:rsidR="006E285B" w:rsidRPr="00CB0C5E">
              <w:t xml:space="preserve"> plans—with particular emphasis on primary</w:t>
            </w:r>
            <w:r w:rsidR="00083605" w:rsidRPr="00CB0C5E">
              <w:t xml:space="preserve"> care</w:t>
            </w:r>
            <w:r w:rsidR="006E285B" w:rsidRPr="00CB0C5E">
              <w:t xml:space="preserve">, specialty </w:t>
            </w:r>
            <w:r w:rsidR="00083605" w:rsidRPr="00CB0C5E">
              <w:t xml:space="preserve">care </w:t>
            </w:r>
            <w:r w:rsidR="006E285B" w:rsidRPr="00CB0C5E">
              <w:t xml:space="preserve">and </w:t>
            </w:r>
            <w:r w:rsidR="000B3A7C" w:rsidRPr="00CB0C5E">
              <w:t>behavioral healthcare</w:t>
            </w:r>
            <w:r w:rsidR="00D71F29" w:rsidRPr="00CB0C5E">
              <w:t>.</w:t>
            </w:r>
          </w:p>
          <w:p w:rsidR="006E285B" w:rsidRPr="00CB0C5E" w:rsidRDefault="006E285B">
            <w:pPr>
              <w:pStyle w:val="Bullet"/>
            </w:pPr>
            <w:r w:rsidRPr="00CB0C5E">
              <w:t>CVOs (includes medical record and site review services)</w:t>
            </w:r>
            <w:r w:rsidR="00D71F29" w:rsidRPr="00CB0C5E">
              <w:t>.</w:t>
            </w:r>
          </w:p>
          <w:p w:rsidR="006E285B" w:rsidRPr="00CB0C5E" w:rsidRDefault="001D700E">
            <w:pPr>
              <w:pStyle w:val="Bullet"/>
            </w:pPr>
            <w:r w:rsidRPr="00CB0C5E">
              <w:t>P</w:t>
            </w:r>
            <w:r w:rsidR="006E285B" w:rsidRPr="00CB0C5E">
              <w:t>harmacy benefits management (PBM) organizations</w:t>
            </w:r>
            <w:r w:rsidR="00D71F29" w:rsidRPr="00CB0C5E">
              <w:t>.</w:t>
            </w:r>
          </w:p>
          <w:p w:rsidR="006E285B" w:rsidRPr="00CB0C5E" w:rsidRDefault="000C7A2C">
            <w:pPr>
              <w:pStyle w:val="Bullet"/>
            </w:pPr>
            <w:r w:rsidRPr="00CB0C5E">
              <w:t>DM</w:t>
            </w:r>
            <w:r w:rsidR="00195FF9" w:rsidRPr="00CB0C5E">
              <w:t xml:space="preserve"> </w:t>
            </w:r>
            <w:r w:rsidR="006E285B" w:rsidRPr="00CB0C5E">
              <w:t>organizations</w:t>
            </w:r>
            <w:r w:rsidR="00D71F29" w:rsidRPr="00CB0C5E">
              <w:t>.</w:t>
            </w:r>
          </w:p>
        </w:tc>
      </w:tr>
      <w:tr w:rsidR="006E285B" w:rsidRPr="00CB0C5E" w:rsidTr="00880216">
        <w:tc>
          <w:tcPr>
            <w:tcW w:w="1735" w:type="dxa"/>
            <w:tcBorders>
              <w:top w:val="nil"/>
              <w:left w:val="nil"/>
              <w:bottom w:val="nil"/>
              <w:right w:val="nil"/>
            </w:tcBorders>
            <w:tcMar>
              <w:left w:w="115" w:type="dxa"/>
              <w:right w:w="115" w:type="dxa"/>
            </w:tcMar>
          </w:tcPr>
          <w:p w:rsidR="006E285B" w:rsidRPr="00CB0C5E" w:rsidRDefault="00F44115" w:rsidP="00CC62D3">
            <w:pPr>
              <w:pStyle w:val="MarginSubhead"/>
            </w:pPr>
            <w:r w:rsidRPr="00CB0C5E">
              <w:t>Exceptions</w:t>
            </w:r>
          </w:p>
        </w:tc>
        <w:tc>
          <w:tcPr>
            <w:tcW w:w="7830" w:type="dxa"/>
            <w:gridSpan w:val="2"/>
            <w:tcBorders>
              <w:top w:val="nil"/>
              <w:left w:val="nil"/>
              <w:bottom w:val="nil"/>
              <w:right w:val="nil"/>
            </w:tcBorders>
            <w:tcMar>
              <w:left w:w="115" w:type="dxa"/>
              <w:right w:w="115" w:type="dxa"/>
            </w:tcMar>
          </w:tcPr>
          <w:p w:rsidR="005C543D" w:rsidRPr="00CB0C5E" w:rsidRDefault="006E285B" w:rsidP="00D71F29">
            <w:pPr>
              <w:pStyle w:val="Body"/>
            </w:pPr>
            <w:r w:rsidRPr="00CB0C5E">
              <w:t>NCQA does not evaluate delegation arrangements between organizations and home health services or laboratory organizations</w:t>
            </w:r>
            <w:r w:rsidR="00F44115" w:rsidRPr="00CB0C5E">
              <w:t>, but</w:t>
            </w:r>
            <w:r w:rsidRPr="00CB0C5E">
              <w:t xml:space="preserve"> </w:t>
            </w:r>
            <w:r w:rsidR="00D71F29" w:rsidRPr="00CB0C5E">
              <w:t>organizations are</w:t>
            </w:r>
            <w:r w:rsidRPr="00CB0C5E">
              <w:t xml:space="preserve"> encouraged to build collaborative relationships with all practitioners and providers. </w:t>
            </w:r>
            <w:r w:rsidR="005C543D" w:rsidRPr="00CB0C5E">
              <w:t xml:space="preserve">  </w:t>
            </w:r>
          </w:p>
        </w:tc>
      </w:tr>
    </w:tbl>
    <w:p w:rsidR="008002D9" w:rsidRPr="00CB0C5E" w:rsidRDefault="008002D9">
      <w:pPr>
        <w:sectPr w:rsidR="008002D9" w:rsidRPr="00CB0C5E" w:rsidSect="00F409AF">
          <w:footerReference w:type="default" r:id="rId21"/>
          <w:headerReference w:type="first" r:id="rId22"/>
          <w:pgSz w:w="12240" w:h="15840" w:code="1"/>
          <w:pgMar w:top="1080" w:right="1440" w:bottom="1080" w:left="1440" w:header="720" w:footer="720" w:gutter="0"/>
          <w:cols w:space="720"/>
        </w:sectPr>
      </w:pPr>
    </w:p>
    <w:p w:rsidR="00660D1E" w:rsidRPr="00CB0C5E" w:rsidRDefault="00912929" w:rsidP="00660D1E">
      <w:pPr>
        <w:pStyle w:val="StdHead"/>
        <w:spacing w:before="0"/>
        <w:rPr>
          <w:szCs w:val="22"/>
        </w:rPr>
      </w:pPr>
      <w:r>
        <w:rPr>
          <w:noProof/>
          <w:szCs w:val="22"/>
        </w:rPr>
        <w:lastRenderedPageBreak/>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6473190</wp:posOffset>
                </wp:positionV>
                <wp:extent cx="1027430" cy="219710"/>
                <wp:effectExtent l="0" t="0" r="20320" b="279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19710"/>
                        </a:xfrm>
                        <a:prstGeom prst="rect">
                          <a:avLst/>
                        </a:prstGeom>
                        <a:noFill/>
                        <a:ln w="889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E04E9" id="Rectangle 4" o:spid="_x0000_s1026" style="position:absolute;margin-left:-1.55pt;margin-top:509.7pt;width:80.9pt;height: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" filled="f" strokecolor="white" strokeweight=".7pt"/>
            </w:pict>
          </mc:Fallback>
        </mc:AlternateContent>
      </w:r>
      <w:r w:rsidR="00660D1E" w:rsidRPr="00CB0C5E">
        <w:rPr>
          <w:noProof/>
          <w:szCs w:val="22"/>
        </w:rPr>
        <w:t>Organization Responsibilities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80" w:type="dxa"/>
          <w:right w:w="180" w:type="dxa"/>
        </w:tblCellMar>
        <w:tblLook w:val="0000" w:firstRow="0" w:lastRow="0" w:firstColumn="0" w:lastColumn="0" w:noHBand="0" w:noVBand="0"/>
      </w:tblPr>
      <w:tblGrid>
        <w:gridCol w:w="2185"/>
        <w:gridCol w:w="7355"/>
      </w:tblGrid>
      <w:tr w:rsidR="0089762F" w:rsidRPr="00CB0C5E" w:rsidTr="002B6E21">
        <w:tc>
          <w:tcPr>
            <w:tcW w:w="2185" w:type="dxa"/>
            <w:tcBorders>
              <w:top w:val="nil"/>
              <w:left w:val="nil"/>
              <w:bottom w:val="nil"/>
              <w:right w:val="nil"/>
            </w:tcBorders>
            <w:tcMar>
              <w:left w:w="115" w:type="dxa"/>
              <w:right w:w="115" w:type="dxa"/>
            </w:tcMar>
          </w:tcPr>
          <w:p w:rsidR="0089762F" w:rsidRPr="00CB0C5E" w:rsidRDefault="0089762F" w:rsidP="00916AAB">
            <w:pPr>
              <w:pStyle w:val="MarginSubhead"/>
            </w:pPr>
            <w:r w:rsidRPr="00CB0C5E">
              <w:t>Activities that may not be delegated</w:t>
            </w:r>
          </w:p>
        </w:tc>
        <w:tc>
          <w:tcPr>
            <w:tcW w:w="7355" w:type="dxa"/>
            <w:tcBorders>
              <w:top w:val="nil"/>
              <w:left w:val="nil"/>
              <w:bottom w:val="nil"/>
              <w:right w:val="nil"/>
            </w:tcBorders>
            <w:tcMar>
              <w:left w:w="115" w:type="dxa"/>
              <w:right w:w="115" w:type="dxa"/>
            </w:tcMar>
          </w:tcPr>
          <w:p w:rsidR="0089762F" w:rsidRPr="00CB0C5E" w:rsidRDefault="0089762F" w:rsidP="00916AAB">
            <w:pPr>
              <w:pStyle w:val="Body"/>
            </w:pPr>
            <w:r w:rsidRPr="00CB0C5E">
              <w:t>There are a number of activities for which authority may not be delegated:</w:t>
            </w:r>
          </w:p>
          <w:p w:rsidR="00B25E51" w:rsidRDefault="00B25E51" w:rsidP="00916AAB">
            <w:pPr>
              <w:pStyle w:val="Bullet"/>
              <w:tabs>
                <w:tab w:val="left" w:pos="1350"/>
              </w:tabs>
            </w:pPr>
            <w:r>
              <w:t>QI 6</w:t>
            </w:r>
            <w:r w:rsidR="00704B65">
              <w:t>:</w:t>
            </w:r>
            <w:r>
              <w:t xml:space="preserve"> Member </w:t>
            </w:r>
            <w:r w:rsidR="00DD2D5D">
              <w:t>Experience</w:t>
            </w:r>
            <w:r w:rsidR="00704B65">
              <w:t>, Element B</w:t>
            </w:r>
            <w:r>
              <w:t>.</w:t>
            </w:r>
          </w:p>
          <w:p w:rsidR="0089762F" w:rsidRDefault="0089762F" w:rsidP="00916AAB">
            <w:pPr>
              <w:pStyle w:val="Bullet"/>
              <w:tabs>
                <w:tab w:val="left" w:pos="1350"/>
              </w:tabs>
            </w:pPr>
            <w:r w:rsidRPr="00CB0C5E">
              <w:t>QI 12: QI Delegation Oversight</w:t>
            </w:r>
            <w:r w:rsidR="00183FDE" w:rsidRPr="00CB0C5E">
              <w:t>.</w:t>
            </w:r>
          </w:p>
          <w:p w:rsidR="00B25E51" w:rsidRPr="00CB0C5E" w:rsidRDefault="00B25E51" w:rsidP="00912929">
            <w:pPr>
              <w:pStyle w:val="Bullet"/>
            </w:pPr>
            <w:r>
              <w:t xml:space="preserve">UM 11: </w:t>
            </w:r>
            <w:r w:rsidR="00553CDD">
              <w:t>Experience</w:t>
            </w:r>
            <w:r>
              <w:t xml:space="preserve"> </w:t>
            </w:r>
            <w:r w:rsidR="00704B65">
              <w:t>W</w:t>
            </w:r>
            <w:r>
              <w:t>ith the UM Process</w:t>
            </w:r>
            <w:r w:rsidR="00912929">
              <w:t xml:space="preserve">, </w:t>
            </w:r>
            <w:r w:rsidR="00912929" w:rsidRPr="00912929">
              <w:t>Element A factors 3, 4</w:t>
            </w:r>
            <w:r w:rsidR="00912929">
              <w:t xml:space="preserve">. </w:t>
            </w:r>
          </w:p>
          <w:p w:rsidR="0089762F" w:rsidRPr="00CB0C5E" w:rsidRDefault="0089762F" w:rsidP="00916AAB">
            <w:pPr>
              <w:pStyle w:val="Bullet"/>
              <w:tabs>
                <w:tab w:val="left" w:pos="1350"/>
              </w:tabs>
            </w:pPr>
            <w:r w:rsidRPr="00CB0C5E">
              <w:t>UM 15: UM Delegation Oversight</w:t>
            </w:r>
            <w:r w:rsidR="00183FDE" w:rsidRPr="00CB0C5E">
              <w:t>.</w:t>
            </w:r>
          </w:p>
          <w:p w:rsidR="0089762F" w:rsidRPr="00CB0C5E" w:rsidRDefault="0089762F" w:rsidP="00916AAB">
            <w:pPr>
              <w:pStyle w:val="Bullet"/>
              <w:tabs>
                <w:tab w:val="left" w:pos="1350"/>
              </w:tabs>
            </w:pPr>
            <w:r w:rsidRPr="00CB0C5E">
              <w:t xml:space="preserve">CR </w:t>
            </w:r>
            <w:r w:rsidR="00F770E2" w:rsidRPr="00CB0C5E">
              <w:t>9</w:t>
            </w:r>
            <w:r w:rsidRPr="00CB0C5E">
              <w:t>: CR Delegation Oversight</w:t>
            </w:r>
            <w:r w:rsidR="00183FDE" w:rsidRPr="00CB0C5E">
              <w:t>.</w:t>
            </w:r>
          </w:p>
          <w:p w:rsidR="0089762F" w:rsidRPr="00CB0C5E" w:rsidRDefault="0089762F" w:rsidP="009D1CC3">
            <w:pPr>
              <w:pStyle w:val="Bullet"/>
            </w:pPr>
            <w:r w:rsidRPr="00CB0C5E">
              <w:t>RR 1</w:t>
            </w:r>
            <w:r w:rsidR="009D1CC3">
              <w:t>, Element A</w:t>
            </w:r>
            <w:r w:rsidRPr="00CB0C5E">
              <w:t xml:space="preserve">: </w:t>
            </w:r>
            <w:r w:rsidR="009D1CC3" w:rsidRPr="009D1CC3">
              <w:t>Rights and Responsibilities Statement</w:t>
            </w:r>
            <w:r w:rsidR="00183FDE" w:rsidRPr="00CB0C5E">
              <w:t>.</w:t>
            </w:r>
          </w:p>
          <w:p w:rsidR="0089762F" w:rsidRPr="00CB0C5E" w:rsidRDefault="0089762F" w:rsidP="00916AAB">
            <w:pPr>
              <w:pStyle w:val="Bullet"/>
              <w:tabs>
                <w:tab w:val="left" w:pos="1350"/>
              </w:tabs>
            </w:pPr>
            <w:r w:rsidRPr="00CB0C5E">
              <w:t xml:space="preserve">RR </w:t>
            </w:r>
            <w:r w:rsidR="00EF0D7B" w:rsidRPr="00CB0C5E">
              <w:t>3</w:t>
            </w:r>
            <w:r w:rsidRPr="00CB0C5E">
              <w:t>: Subscriber Information</w:t>
            </w:r>
            <w:r w:rsidR="00183FDE" w:rsidRPr="00CB0C5E">
              <w:t>.</w:t>
            </w:r>
          </w:p>
          <w:p w:rsidR="0089762F" w:rsidRPr="00CB0C5E" w:rsidRDefault="0089762F" w:rsidP="00916AAB">
            <w:pPr>
              <w:pStyle w:val="Bullet"/>
              <w:tabs>
                <w:tab w:val="left" w:pos="1350"/>
              </w:tabs>
            </w:pPr>
            <w:r w:rsidRPr="00CB0C5E">
              <w:t xml:space="preserve">RR </w:t>
            </w:r>
            <w:r w:rsidR="00EF0D7B" w:rsidRPr="00CB0C5E">
              <w:t>5</w:t>
            </w:r>
            <w:r w:rsidRPr="00CB0C5E">
              <w:t>: Privacy and Confidentiality</w:t>
            </w:r>
            <w:r w:rsidR="00183FDE" w:rsidRPr="00CB0C5E">
              <w:t>.</w:t>
            </w:r>
          </w:p>
          <w:p w:rsidR="0089762F" w:rsidRPr="00CB0C5E" w:rsidRDefault="0089762F" w:rsidP="00916AAB">
            <w:pPr>
              <w:pStyle w:val="Bullet"/>
              <w:tabs>
                <w:tab w:val="left" w:pos="1350"/>
              </w:tabs>
            </w:pPr>
            <w:r w:rsidRPr="00CB0C5E">
              <w:t xml:space="preserve">RR </w:t>
            </w:r>
            <w:r w:rsidR="00EF0D7B" w:rsidRPr="00CB0C5E">
              <w:t>6</w:t>
            </w:r>
            <w:r w:rsidRPr="00CB0C5E">
              <w:t>: Marketing Information</w:t>
            </w:r>
            <w:r w:rsidR="00183FDE" w:rsidRPr="00CB0C5E">
              <w:t>.</w:t>
            </w:r>
          </w:p>
          <w:p w:rsidR="0089762F" w:rsidRPr="00CB0C5E" w:rsidRDefault="0089762F" w:rsidP="00916AAB">
            <w:pPr>
              <w:pStyle w:val="Bullet"/>
              <w:tabs>
                <w:tab w:val="left" w:pos="1350"/>
              </w:tabs>
            </w:pPr>
            <w:r w:rsidRPr="00CB0C5E">
              <w:t xml:space="preserve">RR </w:t>
            </w:r>
            <w:r w:rsidR="00EF0D7B" w:rsidRPr="00CB0C5E">
              <w:t>7</w:t>
            </w:r>
            <w:r w:rsidRPr="00CB0C5E">
              <w:t>: RR Delegation Oversight</w:t>
            </w:r>
            <w:r w:rsidR="00183FDE" w:rsidRPr="00CB0C5E">
              <w:t>.</w:t>
            </w:r>
          </w:p>
          <w:p w:rsidR="0089762F" w:rsidRPr="00CB0C5E" w:rsidRDefault="0089762F" w:rsidP="0089762F">
            <w:pPr>
              <w:pStyle w:val="Bullet"/>
              <w:tabs>
                <w:tab w:val="left" w:pos="1350"/>
              </w:tabs>
            </w:pPr>
            <w:r w:rsidRPr="00CB0C5E">
              <w:t>MEM 9: MEM Delegation Oversight.</w:t>
            </w:r>
          </w:p>
        </w:tc>
      </w:tr>
      <w:tr w:rsidR="0089762F" w:rsidRPr="00CB0C5E" w:rsidTr="002B6E21">
        <w:tc>
          <w:tcPr>
            <w:tcW w:w="2185" w:type="dxa"/>
            <w:tcBorders>
              <w:top w:val="nil"/>
              <w:left w:val="nil"/>
              <w:bottom w:val="nil"/>
              <w:right w:val="nil"/>
            </w:tcBorders>
            <w:tcMar>
              <w:left w:w="115" w:type="dxa"/>
              <w:right w:w="115" w:type="dxa"/>
            </w:tcMar>
          </w:tcPr>
          <w:p w:rsidR="0089762F" w:rsidRPr="00CB0C5E" w:rsidRDefault="0089762F" w:rsidP="00916AAB">
            <w:pPr>
              <w:pStyle w:val="MarginSubhead"/>
            </w:pPr>
            <w:r w:rsidRPr="00CB0C5E">
              <w:t>Structural requirements</w:t>
            </w:r>
          </w:p>
        </w:tc>
        <w:tc>
          <w:tcPr>
            <w:tcW w:w="7355" w:type="dxa"/>
            <w:tcBorders>
              <w:top w:val="nil"/>
              <w:left w:val="nil"/>
              <w:bottom w:val="nil"/>
              <w:right w:val="nil"/>
            </w:tcBorders>
            <w:tcMar>
              <w:left w:w="115" w:type="dxa"/>
              <w:right w:w="115" w:type="dxa"/>
            </w:tcMar>
          </w:tcPr>
          <w:p w:rsidR="0089762F" w:rsidRPr="00CB0C5E" w:rsidRDefault="00137F08" w:rsidP="00916AAB">
            <w:pPr>
              <w:pStyle w:val="Body"/>
            </w:pPr>
            <w:r w:rsidRPr="00CB0C5E">
              <w:t xml:space="preserve">The organization remains </w:t>
            </w:r>
            <w:r w:rsidR="004C3E89" w:rsidRPr="00CB0C5E">
              <w:t>responsible</w:t>
            </w:r>
            <w:r w:rsidRPr="00CB0C5E">
              <w:t xml:space="preserve"> for following procedural or structural components of the standards and guidelines even if it delegates 100 percent of allowable activities</w:t>
            </w:r>
            <w:r w:rsidR="00183FDE" w:rsidRPr="00CB0C5E">
              <w:t>:</w:t>
            </w:r>
          </w:p>
          <w:p w:rsidR="0089762F" w:rsidRPr="00CB0C5E" w:rsidRDefault="0089762F" w:rsidP="00916AAB">
            <w:pPr>
              <w:pStyle w:val="Bullet"/>
              <w:tabs>
                <w:tab w:val="left" w:pos="1260"/>
              </w:tabs>
            </w:pPr>
            <w:r w:rsidRPr="00CB0C5E">
              <w:t>QI 1: Program Structure</w:t>
            </w:r>
            <w:r w:rsidR="00183FDE" w:rsidRPr="00CB0C5E">
              <w:t>.</w:t>
            </w:r>
          </w:p>
          <w:p w:rsidR="0089762F" w:rsidRPr="00CB0C5E" w:rsidRDefault="0089762F" w:rsidP="00916AAB">
            <w:pPr>
              <w:pStyle w:val="Bullet"/>
              <w:tabs>
                <w:tab w:val="left" w:pos="1260"/>
              </w:tabs>
            </w:pPr>
            <w:r w:rsidRPr="00CB0C5E">
              <w:t>QI 2: Program Operations</w:t>
            </w:r>
            <w:r w:rsidR="00183FDE" w:rsidRPr="00CB0C5E">
              <w:t>.</w:t>
            </w:r>
          </w:p>
          <w:p w:rsidR="00745FEA" w:rsidRDefault="0089762F" w:rsidP="00745FEA">
            <w:pPr>
              <w:pStyle w:val="Bullet"/>
              <w:tabs>
                <w:tab w:val="left" w:pos="1260"/>
              </w:tabs>
            </w:pPr>
            <w:r w:rsidRPr="00CB0C5E">
              <w:t>QI 3: Health Services Contracting</w:t>
            </w:r>
            <w:r w:rsidR="00183FDE" w:rsidRPr="00CB0C5E">
              <w:t>.</w:t>
            </w:r>
          </w:p>
          <w:p w:rsidR="00745FEA" w:rsidRDefault="00745FEA" w:rsidP="00745FEA">
            <w:pPr>
              <w:pStyle w:val="Bullet"/>
              <w:tabs>
                <w:tab w:val="left" w:pos="1260"/>
              </w:tabs>
            </w:pPr>
            <w:r>
              <w:t>QI 4: Availability of Practitioners</w:t>
            </w:r>
            <w:r w:rsidR="0096235A">
              <w:t>:</w:t>
            </w:r>
          </w:p>
          <w:p w:rsidR="00745FEA" w:rsidRDefault="00045EC4" w:rsidP="0096235A">
            <w:pPr>
              <w:pStyle w:val="Dash"/>
            </w:pPr>
            <w:r>
              <w:t>Element B, f</w:t>
            </w:r>
            <w:r w:rsidR="00745FEA">
              <w:t>actors 1</w:t>
            </w:r>
            <w:r w:rsidR="0096235A">
              <w:t>,</w:t>
            </w:r>
            <w:r w:rsidR="00745FEA">
              <w:t xml:space="preserve"> 2</w:t>
            </w:r>
            <w:r w:rsidR="0096235A">
              <w:t>.</w:t>
            </w:r>
          </w:p>
          <w:p w:rsidR="00745FEA" w:rsidRDefault="00745FEA" w:rsidP="0096235A">
            <w:pPr>
              <w:pStyle w:val="Dash"/>
            </w:pPr>
            <w:r>
              <w:t xml:space="preserve">Element C, </w:t>
            </w:r>
            <w:r w:rsidR="00045EC4">
              <w:t>f</w:t>
            </w:r>
            <w:r w:rsidR="0096235A">
              <w:t>actors 1–</w:t>
            </w:r>
            <w:r>
              <w:t>3.</w:t>
            </w:r>
          </w:p>
          <w:p w:rsidR="00745FEA" w:rsidRPr="00CB0C5E" w:rsidRDefault="00745FEA" w:rsidP="0096235A">
            <w:pPr>
              <w:pStyle w:val="Dash"/>
            </w:pPr>
            <w:r>
              <w:t xml:space="preserve">Element D, </w:t>
            </w:r>
            <w:r w:rsidR="00045EC4">
              <w:t>f</w:t>
            </w:r>
            <w:r w:rsidR="0096235A">
              <w:t>actor</w:t>
            </w:r>
            <w:r w:rsidR="00502FA8">
              <w:t>s</w:t>
            </w:r>
            <w:r w:rsidR="0096235A">
              <w:t xml:space="preserve"> 1–</w:t>
            </w:r>
            <w:r>
              <w:t>3.</w:t>
            </w:r>
          </w:p>
          <w:p w:rsidR="0089762F" w:rsidRPr="00CB0C5E" w:rsidRDefault="0089762F" w:rsidP="00916AAB">
            <w:pPr>
              <w:pStyle w:val="Bullet"/>
              <w:tabs>
                <w:tab w:val="left" w:pos="1260"/>
              </w:tabs>
            </w:pPr>
            <w:r w:rsidRPr="00CB0C5E">
              <w:t>QI 5: Accessibility of Services</w:t>
            </w:r>
            <w:r w:rsidR="00183FDE" w:rsidRPr="00CB0C5E">
              <w:t>.</w:t>
            </w:r>
          </w:p>
          <w:p w:rsidR="0089762F" w:rsidRPr="00CB0C5E" w:rsidRDefault="0089762F" w:rsidP="00916AAB">
            <w:pPr>
              <w:pStyle w:val="Bullet"/>
              <w:tabs>
                <w:tab w:val="left" w:pos="1260"/>
              </w:tabs>
            </w:pPr>
            <w:r w:rsidRPr="00CB0C5E">
              <w:t>QI 7: Case Management Process</w:t>
            </w:r>
            <w:r w:rsidR="00704B65">
              <w:t>,</w:t>
            </w:r>
            <w:r w:rsidRPr="00CB0C5E">
              <w:t xml:space="preserve"> </w:t>
            </w:r>
            <w:r w:rsidRPr="00011229">
              <w:t xml:space="preserve">Element </w:t>
            </w:r>
            <w:r w:rsidR="00423512" w:rsidRPr="00011229">
              <w:t>F</w:t>
            </w:r>
            <w:r w:rsidR="00183FDE" w:rsidRPr="00CB0C5E">
              <w:t>.</w:t>
            </w:r>
          </w:p>
          <w:p w:rsidR="0089762F" w:rsidRPr="00CB0C5E" w:rsidRDefault="0089762F" w:rsidP="00916AAB">
            <w:pPr>
              <w:pStyle w:val="Bullet"/>
              <w:tabs>
                <w:tab w:val="left" w:pos="1260"/>
              </w:tabs>
              <w:rPr>
                <w:lang w:val="pt-BR"/>
              </w:rPr>
            </w:pPr>
            <w:r w:rsidRPr="00CB0C5E">
              <w:rPr>
                <w:lang w:val="pt-BR"/>
              </w:rPr>
              <w:t>UM 1: Utilization Management Structure</w:t>
            </w:r>
            <w:r w:rsidR="00183FDE" w:rsidRPr="00CB0C5E">
              <w:rPr>
                <w:lang w:val="pt-BR"/>
              </w:rPr>
              <w:t>.</w:t>
            </w:r>
          </w:p>
          <w:p w:rsidR="00295C18" w:rsidRPr="00CB0C5E" w:rsidRDefault="0089762F" w:rsidP="00295C18">
            <w:pPr>
              <w:pStyle w:val="Bullet"/>
              <w:tabs>
                <w:tab w:val="left" w:pos="1260"/>
              </w:tabs>
              <w:rPr>
                <w:lang w:val="pt-BR"/>
              </w:rPr>
            </w:pPr>
            <w:r w:rsidRPr="00CB0C5E">
              <w:rPr>
                <w:lang w:val="pt-BR"/>
              </w:rPr>
              <w:t>UM 2: Clinical Criteria for UM Decisions</w:t>
            </w:r>
            <w:r w:rsidR="00183FDE" w:rsidRPr="00CB0C5E">
              <w:rPr>
                <w:lang w:val="pt-BR"/>
              </w:rPr>
              <w:t>.</w:t>
            </w:r>
          </w:p>
          <w:p w:rsidR="00295C18" w:rsidRPr="00CB0C5E" w:rsidRDefault="00295C18" w:rsidP="00295C18">
            <w:pPr>
              <w:pStyle w:val="Bullet"/>
              <w:tabs>
                <w:tab w:val="left" w:pos="1260"/>
              </w:tabs>
              <w:rPr>
                <w:lang w:val="pt-BR"/>
              </w:rPr>
            </w:pPr>
            <w:r w:rsidRPr="00CB0C5E">
              <w:rPr>
                <w:rFonts w:cs="Arial"/>
                <w:color w:val="000000" w:themeColor="text1"/>
                <w:szCs w:val="20"/>
              </w:rPr>
              <w:t>UM 4: Licensed Health Professionals</w:t>
            </w:r>
            <w:r w:rsidR="00704B65">
              <w:rPr>
                <w:rFonts w:cs="Arial"/>
                <w:color w:val="000000" w:themeColor="text1"/>
                <w:szCs w:val="20"/>
              </w:rPr>
              <w:t>,</w:t>
            </w:r>
            <w:r w:rsidRPr="00CB0C5E">
              <w:rPr>
                <w:rFonts w:cs="Arial"/>
                <w:color w:val="000000" w:themeColor="text1"/>
                <w:szCs w:val="20"/>
              </w:rPr>
              <w:t xml:space="preserve"> Element A</w:t>
            </w:r>
            <w:r w:rsidR="00A2551B" w:rsidRPr="00CB0C5E">
              <w:rPr>
                <w:rFonts w:cs="Arial"/>
                <w:color w:val="000000" w:themeColor="text1"/>
                <w:szCs w:val="20"/>
              </w:rPr>
              <w:t>.</w:t>
            </w:r>
          </w:p>
          <w:p w:rsidR="00295C18" w:rsidRPr="00CB0C5E" w:rsidRDefault="00295C18" w:rsidP="00295C18">
            <w:pPr>
              <w:pStyle w:val="Bullet"/>
              <w:tabs>
                <w:tab w:val="left" w:pos="1260"/>
              </w:tabs>
            </w:pPr>
            <w:r w:rsidRPr="00CB0C5E">
              <w:rPr>
                <w:rFonts w:cs="Arial"/>
                <w:color w:val="000000" w:themeColor="text1"/>
                <w:szCs w:val="20"/>
              </w:rPr>
              <w:t>UM 4: Use of Practitioners for UM Decisions</w:t>
            </w:r>
            <w:r w:rsidR="00704B65">
              <w:rPr>
                <w:rFonts w:cs="Arial"/>
                <w:color w:val="000000" w:themeColor="text1"/>
                <w:szCs w:val="20"/>
              </w:rPr>
              <w:t>,</w:t>
            </w:r>
            <w:r w:rsidRPr="00CB0C5E">
              <w:rPr>
                <w:rFonts w:cs="Arial"/>
                <w:color w:val="000000" w:themeColor="text1"/>
                <w:szCs w:val="20"/>
              </w:rPr>
              <w:t xml:space="preserve"> Element B</w:t>
            </w:r>
            <w:r w:rsidR="00A2551B" w:rsidRPr="00CB0C5E">
              <w:rPr>
                <w:rFonts w:cs="Arial"/>
                <w:color w:val="000000" w:themeColor="text1"/>
                <w:szCs w:val="20"/>
              </w:rPr>
              <w:t>.</w:t>
            </w:r>
          </w:p>
          <w:p w:rsidR="0089762F" w:rsidRPr="00CB0C5E" w:rsidRDefault="0089762F" w:rsidP="00295C18">
            <w:pPr>
              <w:pStyle w:val="Bullet"/>
              <w:tabs>
                <w:tab w:val="left" w:pos="1260"/>
              </w:tabs>
            </w:pPr>
            <w:r w:rsidRPr="00CB0C5E">
              <w:t>UM 8: Policies for Appeals</w:t>
            </w:r>
            <w:r w:rsidR="00183FDE" w:rsidRPr="00CB0C5E">
              <w:t>.</w:t>
            </w:r>
            <w:r w:rsidRPr="00CB0C5E">
              <w:t xml:space="preserve"> </w:t>
            </w:r>
          </w:p>
          <w:p w:rsidR="0089762F" w:rsidRPr="00CB0C5E" w:rsidRDefault="0089762F" w:rsidP="00916AAB">
            <w:pPr>
              <w:pStyle w:val="Bullet"/>
              <w:tabs>
                <w:tab w:val="left" w:pos="1260"/>
              </w:tabs>
            </w:pPr>
            <w:r w:rsidRPr="00CB0C5E">
              <w:t>CR 1: Credentialing Policies</w:t>
            </w:r>
            <w:r w:rsidR="00183FDE" w:rsidRPr="00CB0C5E">
              <w:t>.</w:t>
            </w:r>
          </w:p>
          <w:p w:rsidR="0089762F" w:rsidRPr="00CB0C5E" w:rsidRDefault="0089762F" w:rsidP="00916AAB">
            <w:pPr>
              <w:pStyle w:val="Bullet"/>
              <w:tabs>
                <w:tab w:val="left" w:pos="1260"/>
              </w:tabs>
            </w:pPr>
            <w:r w:rsidRPr="00CB0C5E">
              <w:t xml:space="preserve">CR </w:t>
            </w:r>
            <w:r w:rsidR="00CF5627" w:rsidRPr="00CB0C5E">
              <w:t>7</w:t>
            </w:r>
            <w:r w:rsidRPr="00CB0C5E">
              <w:t>: Notification to Authorities; Practitioner Appeal Rights</w:t>
            </w:r>
            <w:r w:rsidR="00183FDE" w:rsidRPr="00CB0C5E">
              <w:t>.</w:t>
            </w:r>
          </w:p>
          <w:p w:rsidR="0089762F" w:rsidRPr="00CB0C5E" w:rsidRDefault="0089762F" w:rsidP="00916AAB">
            <w:pPr>
              <w:pStyle w:val="Bullet"/>
              <w:tabs>
                <w:tab w:val="left" w:pos="1260"/>
              </w:tabs>
            </w:pPr>
            <w:r w:rsidRPr="00CB0C5E">
              <w:t xml:space="preserve">RR </w:t>
            </w:r>
            <w:r w:rsidR="00897938" w:rsidRPr="00CB0C5E">
              <w:t>2</w:t>
            </w:r>
            <w:r w:rsidRPr="00CB0C5E">
              <w:t>: Policies for Complaints and Appeals</w:t>
            </w:r>
            <w:r w:rsidR="00183FDE" w:rsidRPr="00CB0C5E">
              <w:t>.</w:t>
            </w:r>
          </w:p>
          <w:p w:rsidR="00032F21" w:rsidRPr="005A47C3" w:rsidRDefault="00032F21" w:rsidP="00032F21">
            <w:pPr>
              <w:pStyle w:val="Body"/>
              <w:rPr>
                <w:rFonts w:cs="Arial"/>
              </w:rPr>
            </w:pPr>
            <w:r w:rsidRPr="005A47C3">
              <w:rPr>
                <w:rFonts w:cs="Arial"/>
                <w:color w:val="000000" w:themeColor="text1"/>
                <w:szCs w:val="20"/>
              </w:rPr>
              <w:t xml:space="preserve">For all standards/elements that have been identified as structural requirements, the organization must provide its own materials, processes and other data sources as evidence that it meets each structural component of the standard. Organizations may adopt other organizations' procedures as its own. If an organization adopts existing procedures from another organization, it must </w:t>
            </w:r>
            <w:r w:rsidRPr="005A47C3">
              <w:rPr>
                <w:rFonts w:cs="Arial"/>
                <w:color w:val="000000" w:themeColor="text1"/>
                <w:szCs w:val="20"/>
              </w:rPr>
              <w:lastRenderedPageBreak/>
              <w:t>provide evidence of formal adoption by its governing body or other group or individuals with appropriate authority.</w:t>
            </w:r>
          </w:p>
          <w:p w:rsidR="00197401" w:rsidRPr="00197401" w:rsidRDefault="00197401" w:rsidP="00197401">
            <w:pPr>
              <w:pStyle w:val="Body"/>
            </w:pPr>
            <w:r w:rsidRPr="00DD7B28">
              <w:t>The organization must require its delegates</w:t>
            </w:r>
            <w:r w:rsidRPr="00197401">
              <w:t xml:space="preserve"> to adhere to the same standard </w:t>
            </w:r>
            <w:r w:rsidRPr="00197401">
              <w:br/>
              <w:t>as it does, and must provide evidence that its delegates conduct delegated activities in accordance with organization procedures. Evidence includes summary documentation and descriptions of delegated activities, as well as the standards to which delegates are held.</w:t>
            </w:r>
          </w:p>
          <w:p w:rsidR="0089762F" w:rsidRPr="00CB0C5E" w:rsidRDefault="00197401" w:rsidP="00197401">
            <w:pPr>
              <w:pStyle w:val="Body"/>
              <w:rPr>
                <w:lang w:val="pt-BR"/>
              </w:rPr>
            </w:pPr>
            <w:r w:rsidRPr="00197401">
              <w:t>If there is</w:t>
            </w:r>
            <w:r w:rsidR="00BF61ED">
              <w:t xml:space="preserve"> </w:t>
            </w:r>
            <w:r w:rsidRPr="00197401">
              <w:t>100% delegation of allowable QI, UM or CR activities, the organization must annually review and approve the delegates</w:t>
            </w:r>
            <w:r w:rsidR="007E6C70">
              <w:t>’</w:t>
            </w:r>
            <w:r w:rsidRPr="00197401">
              <w:t xml:space="preserve"> QI program description, complex case management process, UM program description and credentialing policies and procedures, as appropriate. NCQA reviews evidence of appropriate organization staff or committee evaluation and approval of delegates</w:t>
            </w:r>
            <w:r w:rsidR="007E6C70">
              <w:t>’</w:t>
            </w:r>
            <w:r w:rsidRPr="00197401">
              <w:t xml:space="preserve"> programs and procedures, and assesses these activities in the delegation oversight standards.</w:t>
            </w:r>
          </w:p>
        </w:tc>
      </w:tr>
      <w:tr w:rsidR="0089762F" w:rsidRPr="00CB0C5E" w:rsidTr="002B6E21">
        <w:tc>
          <w:tcPr>
            <w:tcW w:w="2185" w:type="dxa"/>
            <w:tcBorders>
              <w:top w:val="nil"/>
              <w:left w:val="nil"/>
              <w:bottom w:val="nil"/>
              <w:right w:val="nil"/>
            </w:tcBorders>
            <w:tcMar>
              <w:left w:w="115" w:type="dxa"/>
              <w:right w:w="115" w:type="dxa"/>
            </w:tcMar>
          </w:tcPr>
          <w:p w:rsidR="0089762F" w:rsidRPr="00CB0C5E" w:rsidRDefault="0089762F" w:rsidP="00011229">
            <w:pPr>
              <w:pStyle w:val="MarginSubhead"/>
            </w:pPr>
            <w:r w:rsidRPr="00CB0C5E">
              <w:lastRenderedPageBreak/>
              <w:t>Nonstructural requirements</w:t>
            </w:r>
          </w:p>
        </w:tc>
        <w:tc>
          <w:tcPr>
            <w:tcW w:w="7355" w:type="dxa"/>
            <w:tcBorders>
              <w:top w:val="nil"/>
              <w:left w:val="nil"/>
              <w:bottom w:val="nil"/>
              <w:right w:val="nil"/>
            </w:tcBorders>
            <w:tcMar>
              <w:left w:w="115" w:type="dxa"/>
              <w:right w:w="115" w:type="dxa"/>
            </w:tcMar>
          </w:tcPr>
          <w:p w:rsidR="0089762F" w:rsidRPr="00CB0C5E" w:rsidRDefault="0089762F" w:rsidP="00916AAB">
            <w:pPr>
              <w:pStyle w:val="Body"/>
              <w:rPr>
                <w:rFonts w:cs="Arial"/>
                <w:szCs w:val="20"/>
              </w:rPr>
            </w:pPr>
            <w:r w:rsidRPr="00CB0C5E">
              <w:t xml:space="preserve">With the exception of file-review requirements, </w:t>
            </w:r>
            <w:r w:rsidRPr="00CB0C5E">
              <w:rPr>
                <w:rFonts w:cs="Arial"/>
                <w:szCs w:val="20"/>
              </w:rPr>
              <w:t xml:space="preserve">NCQA does not directly </w:t>
            </w:r>
            <w:r w:rsidR="00011229">
              <w:rPr>
                <w:rFonts w:cs="Arial"/>
                <w:szCs w:val="20"/>
              </w:rPr>
              <w:br/>
            </w:r>
            <w:r w:rsidRPr="00CB0C5E">
              <w:rPr>
                <w:rFonts w:cs="Arial"/>
                <w:szCs w:val="20"/>
              </w:rPr>
              <w:t xml:space="preserve">evaluate delegate performance unless the organization delegates 100% of a nonstructural component of the standards or </w:t>
            </w:r>
            <w:r w:rsidRPr="00CB0C5E">
              <w:t>QI functions (other than</w:t>
            </w:r>
            <w:r w:rsidR="00011229">
              <w:t xml:space="preserve"> </w:t>
            </w:r>
            <w:r w:rsidRPr="00CB0C5E">
              <w:t xml:space="preserve">to an MBHO, PBM or DM organization) affecting 30 percent or more of its </w:t>
            </w:r>
            <w:r w:rsidR="00011229">
              <w:t>m</w:t>
            </w:r>
            <w:r w:rsidRPr="00CB0C5E">
              <w:t xml:space="preserve">embership. </w:t>
            </w:r>
          </w:p>
          <w:p w:rsidR="0089762F" w:rsidRPr="00CB0C5E" w:rsidRDefault="0089762F" w:rsidP="00916AAB">
            <w:pPr>
              <w:pStyle w:val="Body"/>
              <w:rPr>
                <w:rFonts w:cs="Arial"/>
                <w:szCs w:val="20"/>
              </w:rPr>
            </w:pPr>
            <w:r w:rsidRPr="00CB0C5E">
              <w:t xml:space="preserve">If there is 100% delegation of a nonstructural component of the standard </w:t>
            </w:r>
            <w:r w:rsidR="00BF61ED">
              <w:br/>
            </w:r>
            <w:r w:rsidRPr="00CB0C5E">
              <w:t xml:space="preserve">(e.g., </w:t>
            </w:r>
            <w:r w:rsidRPr="00CB0C5E">
              <w:rPr>
                <w:i/>
              </w:rPr>
              <w:t>UM 13:</w:t>
            </w:r>
            <w:r w:rsidRPr="00CB0C5E">
              <w:t xml:space="preserve"> </w:t>
            </w:r>
            <w:r w:rsidRPr="00CB0C5E">
              <w:rPr>
                <w:i/>
              </w:rPr>
              <w:t>Procedures for Pharmaceutical Management</w:t>
            </w:r>
            <w:r w:rsidRPr="00CB0C5E">
              <w:t xml:space="preserve"> or </w:t>
            </w:r>
            <w:r w:rsidRPr="00CB0C5E">
              <w:rPr>
                <w:i/>
              </w:rPr>
              <w:t>MEM 4:</w:t>
            </w:r>
            <w:r w:rsidRPr="00CB0C5E">
              <w:t xml:space="preserve"> </w:t>
            </w:r>
            <w:r w:rsidRPr="00CB0C5E">
              <w:rPr>
                <w:i/>
              </w:rPr>
              <w:t>Pharmacy Benefit Information</w:t>
            </w:r>
            <w:r w:rsidRPr="00CB0C5E">
              <w:t xml:space="preserve">), </w:t>
            </w:r>
            <w:r w:rsidRPr="00CB0C5E">
              <w:rPr>
                <w:rFonts w:cs="Arial"/>
                <w:szCs w:val="20"/>
              </w:rPr>
              <w:t>NCQA treats the delegate</w:t>
            </w:r>
            <w:r w:rsidR="007E6C70">
              <w:rPr>
                <w:rFonts w:cs="Arial"/>
                <w:szCs w:val="20"/>
              </w:rPr>
              <w:t>’</w:t>
            </w:r>
            <w:r w:rsidRPr="00CB0C5E">
              <w:rPr>
                <w:rFonts w:cs="Arial"/>
                <w:szCs w:val="20"/>
              </w:rPr>
              <w:t>s documentation as the organization</w:t>
            </w:r>
            <w:r w:rsidR="007E6C70">
              <w:rPr>
                <w:rFonts w:cs="Arial"/>
                <w:szCs w:val="20"/>
              </w:rPr>
              <w:t>’</w:t>
            </w:r>
            <w:r w:rsidRPr="00CB0C5E">
              <w:rPr>
                <w:rFonts w:cs="Arial"/>
                <w:szCs w:val="20"/>
              </w:rPr>
              <w:t>s documentation and evaluates it against the standard. The organization must have access to the delegate</w:t>
            </w:r>
            <w:r w:rsidR="007E6C70">
              <w:rPr>
                <w:rFonts w:cs="Arial"/>
                <w:szCs w:val="20"/>
              </w:rPr>
              <w:t>’</w:t>
            </w:r>
            <w:r w:rsidRPr="00CB0C5E">
              <w:rPr>
                <w:rFonts w:cs="Arial"/>
                <w:szCs w:val="20"/>
              </w:rPr>
              <w:t xml:space="preserve">s materials, processes and other data sources that are relevant to the delegated activity, and must submit the required documentation at the time of the survey. </w:t>
            </w:r>
          </w:p>
          <w:p w:rsidR="0089762F" w:rsidRPr="00CB0C5E" w:rsidRDefault="0089762F" w:rsidP="00916AAB">
            <w:pPr>
              <w:pStyle w:val="Body"/>
            </w:pPr>
            <w:r w:rsidRPr="00CB0C5E">
              <w:t>If the organization delegates QI functions (other than to an MBHO, PBM or DM organization) affecting 30 percent or more of its membership, NCQA evaluates applicable non-file-review elements for a sample of up to four delegates. The delegate</w:t>
            </w:r>
            <w:r w:rsidR="007E6C70">
              <w:t>’</w:t>
            </w:r>
            <w:r w:rsidRPr="00CB0C5E">
              <w:t>s documentation to meet delegated functions should be included in the appropriate non-file-review elements. The organization may present the delegate</w:t>
            </w:r>
            <w:r w:rsidR="007E6C70">
              <w:t>’</w:t>
            </w:r>
            <w:r w:rsidRPr="00CB0C5E">
              <w:t xml:space="preserve">s activities as evidence of performance. </w:t>
            </w:r>
          </w:p>
          <w:p w:rsidR="0089762F" w:rsidRPr="00CB0C5E" w:rsidRDefault="0089762F" w:rsidP="0096235A">
            <w:pPr>
              <w:pStyle w:val="Body"/>
            </w:pPr>
            <w:r w:rsidRPr="00CB0C5E">
              <w:t>NCQA reviews the organization</w:t>
            </w:r>
            <w:r w:rsidR="007E6C70">
              <w:t>’</w:t>
            </w:r>
            <w:r w:rsidRPr="00CB0C5E">
              <w:t xml:space="preserve">s oversight of its delegates, except for </w:t>
            </w:r>
            <w:r w:rsidR="00300AF0" w:rsidRPr="00CB0C5E">
              <w:t>NCQA</w:t>
            </w:r>
            <w:r w:rsidR="0096235A">
              <w:t>-</w:t>
            </w:r>
            <w:r w:rsidR="00300AF0" w:rsidRPr="00CB0C5E">
              <w:t>Accredited or</w:t>
            </w:r>
            <w:r w:rsidRPr="00CB0C5E">
              <w:t xml:space="preserve"> NCQA</w:t>
            </w:r>
            <w:r w:rsidR="0096235A">
              <w:t>-</w:t>
            </w:r>
            <w:r w:rsidRPr="00CB0C5E">
              <w:t>Certified delegates.</w:t>
            </w:r>
          </w:p>
        </w:tc>
      </w:tr>
      <w:tr w:rsidR="0089762F" w:rsidRPr="00CB0C5E" w:rsidTr="002B6E21">
        <w:tc>
          <w:tcPr>
            <w:tcW w:w="2185" w:type="dxa"/>
            <w:tcBorders>
              <w:top w:val="nil"/>
              <w:left w:val="nil"/>
              <w:bottom w:val="nil"/>
              <w:right w:val="nil"/>
            </w:tcBorders>
            <w:tcMar>
              <w:left w:w="115" w:type="dxa"/>
              <w:right w:w="115" w:type="dxa"/>
            </w:tcMar>
          </w:tcPr>
          <w:p w:rsidR="0089762F" w:rsidRPr="00CB0C5E" w:rsidRDefault="0089762F" w:rsidP="00916AAB">
            <w:pPr>
              <w:pStyle w:val="MarginSubhead"/>
            </w:pPr>
            <w:r w:rsidRPr="00CB0C5E">
              <w:t>File-review elements</w:t>
            </w:r>
          </w:p>
        </w:tc>
        <w:tc>
          <w:tcPr>
            <w:tcW w:w="7355" w:type="dxa"/>
            <w:tcBorders>
              <w:top w:val="nil"/>
              <w:left w:val="nil"/>
              <w:bottom w:val="nil"/>
              <w:right w:val="nil"/>
            </w:tcBorders>
            <w:tcMar>
              <w:left w:w="115" w:type="dxa"/>
              <w:right w:w="115" w:type="dxa"/>
            </w:tcMar>
          </w:tcPr>
          <w:p w:rsidR="0089762F" w:rsidRPr="00CB0C5E" w:rsidRDefault="0089762F" w:rsidP="0096235A">
            <w:pPr>
              <w:pStyle w:val="Body"/>
            </w:pPr>
            <w:r w:rsidRPr="00CB0C5E">
              <w:t xml:space="preserve">If the organization delegates case management, CR or UM file-review elements, NCQA selects a random sample of delegate files for the file-review portion of the survey. </w:t>
            </w:r>
            <w:r w:rsidRPr="00CB0C5E">
              <w:rPr>
                <w:rFonts w:cs="Arial"/>
                <w:szCs w:val="20"/>
              </w:rPr>
              <w:t>The organization must have access to the delegate</w:t>
            </w:r>
            <w:r w:rsidR="007E6C70">
              <w:rPr>
                <w:rFonts w:cs="Arial"/>
                <w:szCs w:val="20"/>
              </w:rPr>
              <w:t>’</w:t>
            </w:r>
            <w:r w:rsidRPr="00CB0C5E">
              <w:rPr>
                <w:rFonts w:cs="Arial"/>
                <w:szCs w:val="20"/>
              </w:rPr>
              <w:t xml:space="preserve">s files and must </w:t>
            </w:r>
            <w:r w:rsidR="0096235A">
              <w:rPr>
                <w:rFonts w:cs="Arial"/>
                <w:szCs w:val="20"/>
              </w:rPr>
              <w:br/>
            </w:r>
            <w:r w:rsidRPr="00CB0C5E">
              <w:rPr>
                <w:rFonts w:cs="Arial"/>
                <w:szCs w:val="20"/>
              </w:rPr>
              <w:t xml:space="preserve">make them available at the time of the onsite survey. </w:t>
            </w:r>
            <w:r w:rsidRPr="00CB0C5E">
              <w:t>NCQA reserves the</w:t>
            </w:r>
            <w:r w:rsidR="0096235A">
              <w:br/>
            </w:r>
            <w:r w:rsidRPr="00CB0C5E">
              <w:t>right to request site visits to delegates and additional file review, and makes arrangements in advance of the organization</w:t>
            </w:r>
            <w:r w:rsidR="007E6C70">
              <w:t>’</w:t>
            </w:r>
            <w:r w:rsidRPr="00CB0C5E">
              <w:t xml:space="preserve">s survey if such action is necessary. </w:t>
            </w:r>
          </w:p>
        </w:tc>
      </w:tr>
      <w:tr w:rsidR="0089762F" w:rsidRPr="00CB0C5E" w:rsidTr="002B6E21">
        <w:tc>
          <w:tcPr>
            <w:tcW w:w="2185" w:type="dxa"/>
            <w:tcBorders>
              <w:top w:val="nil"/>
              <w:left w:val="nil"/>
              <w:bottom w:val="nil"/>
              <w:right w:val="nil"/>
            </w:tcBorders>
            <w:tcMar>
              <w:left w:w="115" w:type="dxa"/>
              <w:right w:w="115" w:type="dxa"/>
            </w:tcMar>
          </w:tcPr>
          <w:p w:rsidR="0089762F" w:rsidRPr="00CB0C5E" w:rsidRDefault="0089762F" w:rsidP="00916AAB">
            <w:pPr>
              <w:pStyle w:val="MarginSubhead"/>
            </w:pPr>
            <w:r w:rsidRPr="00CB0C5E">
              <w:t>Approval of policies and procedures select activities</w:t>
            </w:r>
          </w:p>
        </w:tc>
        <w:tc>
          <w:tcPr>
            <w:tcW w:w="7355" w:type="dxa"/>
            <w:tcBorders>
              <w:top w:val="nil"/>
              <w:left w:val="nil"/>
              <w:bottom w:val="nil"/>
              <w:right w:val="nil"/>
            </w:tcBorders>
            <w:tcMar>
              <w:left w:w="115" w:type="dxa"/>
              <w:right w:w="115" w:type="dxa"/>
            </w:tcMar>
          </w:tcPr>
          <w:p w:rsidR="0089762F" w:rsidRPr="00CB0C5E" w:rsidRDefault="0089762F" w:rsidP="00916AAB">
            <w:pPr>
              <w:pStyle w:val="Body"/>
            </w:pPr>
            <w:r w:rsidRPr="00CB0C5E">
              <w:t>An organization that only delegates selected activities in the standard category, as opposed to the entire function, must approve the policies and procedures that the delegate follows to perform the selected activities.</w:t>
            </w:r>
          </w:p>
        </w:tc>
      </w:tr>
    </w:tbl>
    <w:p w:rsidR="007330AF" w:rsidRPr="00CB0C5E" w:rsidRDefault="007330AF">
      <w:pPr>
        <w:sectPr w:rsidR="007330AF" w:rsidRPr="00CB0C5E" w:rsidSect="00744802">
          <w:pgSz w:w="12240" w:h="15840" w:code="1"/>
          <w:pgMar w:top="1080" w:right="1440" w:bottom="1080" w:left="1440"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80" w:type="dxa"/>
          <w:right w:w="180" w:type="dxa"/>
        </w:tblCellMar>
        <w:tblLook w:val="0000" w:firstRow="0" w:lastRow="0" w:firstColumn="0" w:lastColumn="0" w:noHBand="0" w:noVBand="0"/>
      </w:tblPr>
      <w:tblGrid>
        <w:gridCol w:w="1915"/>
        <w:gridCol w:w="7625"/>
      </w:tblGrid>
      <w:tr w:rsidR="00197401" w:rsidRPr="00CB0C5E" w:rsidTr="00197401">
        <w:trPr>
          <w:trHeight w:val="4236"/>
        </w:trPr>
        <w:tc>
          <w:tcPr>
            <w:tcW w:w="1915" w:type="dxa"/>
            <w:tcBorders>
              <w:top w:val="nil"/>
              <w:left w:val="nil"/>
              <w:bottom w:val="nil"/>
              <w:right w:val="nil"/>
            </w:tcBorders>
            <w:tcMar>
              <w:left w:w="115" w:type="dxa"/>
              <w:right w:w="115" w:type="dxa"/>
            </w:tcMar>
          </w:tcPr>
          <w:p w:rsidR="00197401" w:rsidRPr="00CB0C5E" w:rsidRDefault="00197401" w:rsidP="008A2F8D">
            <w:pPr>
              <w:pStyle w:val="MarginSubhead"/>
              <w:spacing w:before="0"/>
            </w:pPr>
            <w:r w:rsidRPr="00CB0C5E">
              <w:lastRenderedPageBreak/>
              <w:t>Written delegation agreement</w:t>
            </w:r>
          </w:p>
        </w:tc>
        <w:tc>
          <w:tcPr>
            <w:tcW w:w="7625" w:type="dxa"/>
            <w:tcBorders>
              <w:top w:val="nil"/>
              <w:left w:val="nil"/>
              <w:bottom w:val="nil"/>
              <w:right w:val="nil"/>
            </w:tcBorders>
            <w:tcMar>
              <w:left w:w="115" w:type="dxa"/>
              <w:right w:w="115" w:type="dxa"/>
            </w:tcMar>
          </w:tcPr>
          <w:p w:rsidR="00197401" w:rsidRPr="00CB0C5E" w:rsidRDefault="00197401" w:rsidP="00197401">
            <w:pPr>
              <w:pStyle w:val="Body"/>
              <w:spacing w:before="0"/>
            </w:pPr>
            <w:r w:rsidRPr="00CB0C5E">
              <w:t>The organization is responsible for clear delineation of its responsibilities and the responsibilities of its delegate with regard to performance of specific NCQA-required activities. There must be a mutually agreed-upon delegation document that meets the following criteria:</w:t>
            </w:r>
          </w:p>
          <w:p w:rsidR="00197401" w:rsidRPr="007043B6" w:rsidRDefault="00197401" w:rsidP="007043B6">
            <w:pPr>
              <w:pStyle w:val="Bullet"/>
            </w:pPr>
            <w:r w:rsidRPr="007043B6">
              <w:t xml:space="preserve">Describes the responsibilities of the organization and the delegated entity. </w:t>
            </w:r>
            <w:r w:rsidR="00032F21" w:rsidRPr="007043B6">
              <w:t xml:space="preserve"> The organization must delineate the responsibilities based on the requirements in Element A of each delegation standard.</w:t>
            </w:r>
          </w:p>
          <w:p w:rsidR="00197401" w:rsidRPr="007043B6" w:rsidRDefault="00197401" w:rsidP="007043B6">
            <w:pPr>
              <w:pStyle w:val="Bullet"/>
            </w:pPr>
            <w:r w:rsidRPr="007043B6">
              <w:t xml:space="preserve">Describes the delegated activities. </w:t>
            </w:r>
          </w:p>
          <w:p w:rsidR="00197401" w:rsidRPr="007043B6" w:rsidRDefault="00197401" w:rsidP="007043B6">
            <w:pPr>
              <w:pStyle w:val="Bullet"/>
            </w:pPr>
            <w:r w:rsidRPr="007043B6">
              <w:t xml:space="preserve">Requires at least semiannual reporting to the organization. </w:t>
            </w:r>
          </w:p>
          <w:p w:rsidR="00197401" w:rsidRPr="007043B6" w:rsidRDefault="00197401" w:rsidP="007043B6">
            <w:pPr>
              <w:pStyle w:val="Bullet"/>
            </w:pPr>
            <w:r w:rsidRPr="007043B6">
              <w:t>Describes the process the organization uses to evaluate the delegated entity</w:t>
            </w:r>
            <w:r w:rsidR="007E6C70" w:rsidRPr="007043B6">
              <w:t>’</w:t>
            </w:r>
            <w:r w:rsidRPr="007043B6">
              <w:t>s performance.</w:t>
            </w:r>
          </w:p>
          <w:p w:rsidR="00197401" w:rsidRPr="007043B6" w:rsidRDefault="00197401" w:rsidP="007043B6">
            <w:pPr>
              <w:pStyle w:val="Bullet"/>
            </w:pPr>
            <w:r w:rsidRPr="007043B6">
              <w:t xml:space="preserve">Includes provisions to safeguard members PHI, as applicable. </w:t>
            </w:r>
          </w:p>
          <w:p w:rsidR="00197401" w:rsidRPr="007043B6" w:rsidRDefault="00197401" w:rsidP="007043B6">
            <w:pPr>
              <w:pStyle w:val="Bullet"/>
            </w:pPr>
            <w:r w:rsidRPr="007043B6">
              <w:t>Describes the remedies available to the organization if the delegated entity does not fulfill its obligations, including revocation of the delegation agreement.</w:t>
            </w:r>
          </w:p>
          <w:p w:rsidR="00197401" w:rsidRPr="00CB0C5E" w:rsidRDefault="00197401" w:rsidP="004664C4">
            <w:pPr>
              <w:pStyle w:val="Body"/>
            </w:pPr>
            <w:r w:rsidRPr="00CB0C5E">
              <w:t>Evidence of mutual agreement is usually a signature and date on a contract, but it may also be found in a letter, meeting minutes or other form of communication.</w:t>
            </w:r>
          </w:p>
        </w:tc>
      </w:tr>
      <w:tr w:rsidR="0089762F" w:rsidRPr="00CB0C5E" w:rsidTr="00197401">
        <w:tc>
          <w:tcPr>
            <w:tcW w:w="1915" w:type="dxa"/>
            <w:tcBorders>
              <w:top w:val="nil"/>
              <w:left w:val="nil"/>
              <w:bottom w:val="nil"/>
              <w:right w:val="nil"/>
            </w:tcBorders>
            <w:tcMar>
              <w:left w:w="115" w:type="dxa"/>
              <w:right w:w="115" w:type="dxa"/>
            </w:tcMar>
          </w:tcPr>
          <w:p w:rsidR="0089762F" w:rsidRPr="00CB0C5E" w:rsidRDefault="0089762F" w:rsidP="00916AAB">
            <w:pPr>
              <w:pStyle w:val="MarginSubhead"/>
            </w:pPr>
            <w:r w:rsidRPr="00CB0C5E">
              <w:t>Predelegation evaluation</w:t>
            </w:r>
          </w:p>
        </w:tc>
        <w:tc>
          <w:tcPr>
            <w:tcW w:w="7625" w:type="dxa"/>
            <w:tcBorders>
              <w:top w:val="nil"/>
              <w:left w:val="nil"/>
              <w:bottom w:val="nil"/>
              <w:right w:val="nil"/>
            </w:tcBorders>
            <w:tcMar>
              <w:left w:w="115" w:type="dxa"/>
              <w:right w:w="115" w:type="dxa"/>
            </w:tcMar>
          </w:tcPr>
          <w:p w:rsidR="0089762F" w:rsidRPr="00CB0C5E" w:rsidRDefault="0089762F" w:rsidP="00BF61ED">
            <w:pPr>
              <w:pStyle w:val="Body"/>
            </w:pPr>
            <w:r w:rsidRPr="00CB0C5E">
              <w:t>The organization must evaluate the delegate</w:t>
            </w:r>
            <w:r w:rsidR="007E6C70">
              <w:t>’</w:t>
            </w:r>
            <w:r w:rsidRPr="00CB0C5E">
              <w:t xml:space="preserve">s capacity to perform the specific </w:t>
            </w:r>
            <w:r w:rsidR="00122A18">
              <w:t xml:space="preserve">activities required by </w:t>
            </w:r>
            <w:r w:rsidRPr="00CB0C5E">
              <w:t>NCQA before entering into a delegation agreement. Evaluation usually involves a site visit and a written review of the delegate</w:t>
            </w:r>
            <w:r w:rsidR="007E6C70">
              <w:t>’</w:t>
            </w:r>
            <w:r w:rsidRPr="00CB0C5E">
              <w:t>s understanding of the standards and the delegated tasks, staffing capabilities and performance record, but it may be accomplished through an exchange of documents or through predelegation meetings.</w:t>
            </w:r>
          </w:p>
        </w:tc>
      </w:tr>
      <w:tr w:rsidR="0089762F" w:rsidRPr="00CB0C5E" w:rsidTr="007330AF">
        <w:tc>
          <w:tcPr>
            <w:tcW w:w="1915" w:type="dxa"/>
            <w:tcBorders>
              <w:top w:val="nil"/>
              <w:left w:val="nil"/>
              <w:bottom w:val="nil"/>
              <w:right w:val="nil"/>
            </w:tcBorders>
            <w:tcMar>
              <w:left w:w="115" w:type="dxa"/>
              <w:right w:w="115" w:type="dxa"/>
            </w:tcMar>
          </w:tcPr>
          <w:p w:rsidR="0089762F" w:rsidRPr="00CB0C5E" w:rsidRDefault="0089762F" w:rsidP="00916AAB">
            <w:pPr>
              <w:pStyle w:val="MarginSubhead"/>
            </w:pPr>
            <w:r w:rsidRPr="00CB0C5E">
              <w:t>Reports from delegates</w:t>
            </w:r>
          </w:p>
        </w:tc>
        <w:tc>
          <w:tcPr>
            <w:tcW w:w="7625" w:type="dxa"/>
            <w:tcBorders>
              <w:top w:val="nil"/>
              <w:left w:val="nil"/>
              <w:bottom w:val="nil"/>
              <w:right w:val="nil"/>
            </w:tcBorders>
            <w:tcMar>
              <w:left w:w="115" w:type="dxa"/>
              <w:right w:w="115" w:type="dxa"/>
            </w:tcMar>
          </w:tcPr>
          <w:p w:rsidR="0089762F" w:rsidRPr="00CB0C5E" w:rsidRDefault="0089762F" w:rsidP="00122A18">
            <w:pPr>
              <w:pStyle w:val="Body"/>
            </w:pPr>
            <w:r w:rsidRPr="00CB0C5E">
              <w:t>The organization must receive reports from its delegates at least semiannually. NCQA reviews the organization</w:t>
            </w:r>
            <w:r w:rsidR="007E6C70">
              <w:t>’</w:t>
            </w:r>
            <w:r w:rsidRPr="00CB0C5E">
              <w:t>s evaluation of regular reports, and each report must show evidence of substantive evaluation, thorough review and analysis. The organization must receive at least semiannual reports from all delegates, including NCQA</w:t>
            </w:r>
            <w:r w:rsidR="00122A18">
              <w:t>-Accredited and NCQA-</w:t>
            </w:r>
            <w:r w:rsidRPr="00CB0C5E">
              <w:t>Certified delegates.</w:t>
            </w:r>
          </w:p>
        </w:tc>
      </w:tr>
      <w:tr w:rsidR="0089762F" w:rsidRPr="00CB0C5E" w:rsidTr="007330AF">
        <w:tc>
          <w:tcPr>
            <w:tcW w:w="1915" w:type="dxa"/>
            <w:tcBorders>
              <w:top w:val="nil"/>
              <w:left w:val="nil"/>
              <w:bottom w:val="nil"/>
              <w:right w:val="nil"/>
            </w:tcBorders>
            <w:tcMar>
              <w:left w:w="115" w:type="dxa"/>
              <w:right w:w="115" w:type="dxa"/>
            </w:tcMar>
          </w:tcPr>
          <w:p w:rsidR="0089762F" w:rsidRPr="00CB0C5E" w:rsidRDefault="0089762F" w:rsidP="00916AAB">
            <w:pPr>
              <w:pStyle w:val="MarginSubhead"/>
            </w:pPr>
            <w:r w:rsidRPr="00CB0C5E">
              <w:t xml:space="preserve">Annual audits and evaluation </w:t>
            </w:r>
          </w:p>
        </w:tc>
        <w:tc>
          <w:tcPr>
            <w:tcW w:w="7625" w:type="dxa"/>
            <w:tcBorders>
              <w:top w:val="nil"/>
              <w:left w:val="nil"/>
              <w:bottom w:val="nil"/>
              <w:right w:val="nil"/>
            </w:tcBorders>
            <w:tcMar>
              <w:left w:w="115" w:type="dxa"/>
              <w:right w:w="115" w:type="dxa"/>
            </w:tcMar>
          </w:tcPr>
          <w:p w:rsidR="0089762F" w:rsidRPr="00CB0C5E" w:rsidRDefault="0089762F" w:rsidP="00916AAB">
            <w:pPr>
              <w:pStyle w:val="Body"/>
            </w:pPr>
            <w:r w:rsidRPr="00CB0C5E">
              <w:t>The organization must conduct an annual evaluation of all delegates, including a review of applicable policies and procedures and an audit of how the delegate processes case management, CR and UM files, if delegated. The organization must implement a Corrective Action Plan (CAP) to improve performance if findings warrant.</w:t>
            </w:r>
          </w:p>
          <w:p w:rsidR="0089762F" w:rsidRPr="00CB0C5E" w:rsidRDefault="0089762F" w:rsidP="00916AAB">
            <w:pPr>
              <w:pStyle w:val="Body"/>
            </w:pPr>
            <w:r w:rsidRPr="00CB0C5E">
              <w:t xml:space="preserve">NCQA does not specify the exact methodology the organization must use when auditing a delegate. For CR file audits, the organization may use the NCQA </w:t>
            </w:r>
            <w:r w:rsidR="00EF03C7">
              <w:t>“</w:t>
            </w:r>
            <w:r w:rsidRPr="00CB0C5E">
              <w:t>8/30 methodology,</w:t>
            </w:r>
            <w:r w:rsidR="00EF03C7">
              <w:t>”</w:t>
            </w:r>
            <w:r w:rsidRPr="00CB0C5E">
              <w:t xml:space="preserve"> available at </w:t>
            </w:r>
            <w:r w:rsidRPr="004B158B">
              <w:rPr>
                <w:rStyle w:val="Hyperlink"/>
                <w:color w:val="auto"/>
              </w:rPr>
              <w:t>http://www.ncqa.org/tabid/125/Default.aspx</w:t>
            </w:r>
            <w:r w:rsidRPr="00CB0C5E">
              <w:rPr>
                <w:rStyle w:val="Hyperlink"/>
                <w:color w:val="auto"/>
                <w:u w:val="none"/>
              </w:rPr>
              <w:t>,</w:t>
            </w:r>
            <w:r w:rsidRPr="00CB0C5E">
              <w:t xml:space="preserve"> or 5 percent or 50 of its practitioner files, whichever is less. This rule is described in </w:t>
            </w:r>
            <w:r w:rsidRPr="00CB0C5E">
              <w:rPr>
                <w:i/>
              </w:rPr>
              <w:t xml:space="preserve">CR 12: Delegation of CR, </w:t>
            </w:r>
            <w:r w:rsidRPr="00CB0C5E">
              <w:t xml:space="preserve">Element E in the </w:t>
            </w:r>
            <w:r w:rsidRPr="00CB0C5E">
              <w:rPr>
                <w:i/>
              </w:rPr>
              <w:t>Standards and Guidelines.</w:t>
            </w:r>
            <w:r w:rsidRPr="00CB0C5E">
              <w:t xml:space="preserve"> </w:t>
            </w:r>
          </w:p>
        </w:tc>
      </w:tr>
      <w:tr w:rsidR="0089762F" w:rsidRPr="00CB0C5E" w:rsidTr="007330AF">
        <w:tc>
          <w:tcPr>
            <w:tcW w:w="1915" w:type="dxa"/>
            <w:tcBorders>
              <w:top w:val="nil"/>
              <w:left w:val="nil"/>
              <w:bottom w:val="nil"/>
              <w:right w:val="nil"/>
            </w:tcBorders>
            <w:tcMar>
              <w:left w:w="115" w:type="dxa"/>
              <w:right w:w="115" w:type="dxa"/>
            </w:tcMar>
          </w:tcPr>
          <w:p w:rsidR="0089762F" w:rsidRPr="00CB0C5E" w:rsidRDefault="0089762F" w:rsidP="00916AAB">
            <w:pPr>
              <w:pStyle w:val="MarginSubhead"/>
            </w:pPr>
            <w:r w:rsidRPr="00CB0C5E">
              <w:t>Improvement actions</w:t>
            </w:r>
          </w:p>
        </w:tc>
        <w:tc>
          <w:tcPr>
            <w:tcW w:w="7625" w:type="dxa"/>
            <w:tcBorders>
              <w:top w:val="nil"/>
              <w:left w:val="nil"/>
              <w:bottom w:val="nil"/>
              <w:right w:val="nil"/>
            </w:tcBorders>
            <w:tcMar>
              <w:left w:w="115" w:type="dxa"/>
              <w:right w:w="115" w:type="dxa"/>
            </w:tcMar>
          </w:tcPr>
          <w:p w:rsidR="0089762F" w:rsidRPr="00CB0C5E" w:rsidRDefault="0089762F" w:rsidP="00916AAB">
            <w:pPr>
              <w:pStyle w:val="Body"/>
            </w:pPr>
            <w:r w:rsidRPr="00CB0C5E">
              <w:t>The organization uses the findings from the predelegation evaluation, annual evaluations, file audits and reports to identify areas of improvement and take action when findings warrant.</w:t>
            </w:r>
          </w:p>
        </w:tc>
      </w:tr>
    </w:tbl>
    <w:p w:rsidR="007E6C70" w:rsidRDefault="007E6C70" w:rsidP="007E6C70">
      <w:pPr>
        <w:sectPr w:rsidR="007E6C70" w:rsidSect="00744802">
          <w:pgSz w:w="12240" w:h="15840" w:code="1"/>
          <w:pgMar w:top="1080" w:right="1440" w:bottom="1080" w:left="1440" w:header="720" w:footer="720" w:gutter="0"/>
          <w:cols w:space="720"/>
        </w:sectPr>
      </w:pPr>
    </w:p>
    <w:p w:rsidR="00041949" w:rsidRPr="00CB0C5E" w:rsidRDefault="00041949" w:rsidP="007E6C70">
      <w:pPr>
        <w:pStyle w:val="StdHead"/>
        <w:spacing w:before="0"/>
      </w:pPr>
      <w:r w:rsidRPr="00CB0C5E">
        <w:lastRenderedPageBreak/>
        <w:t xml:space="preserve">Delegating to an </w:t>
      </w:r>
      <w:r w:rsidR="00300AF0" w:rsidRPr="00CB0C5E">
        <w:t>NCQA Accredited or</w:t>
      </w:r>
      <w:r w:rsidRPr="00CB0C5E">
        <w:t xml:space="preserve"> </w:t>
      </w:r>
      <w:r w:rsidR="00083605" w:rsidRPr="00CB0C5E">
        <w:t>NCQA Certified</w:t>
      </w:r>
      <w:r w:rsidRPr="00CB0C5E">
        <w:t xml:space="preserve"> Entity</w:t>
      </w:r>
    </w:p>
    <w:tbl>
      <w:tblPr>
        <w:tblW w:w="0" w:type="auto"/>
        <w:tblInd w:w="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80" w:type="dxa"/>
          <w:right w:w="180" w:type="dxa"/>
        </w:tblCellMar>
        <w:tblLook w:val="0000" w:firstRow="0" w:lastRow="0" w:firstColumn="0" w:lastColumn="0" w:noHBand="0" w:noVBand="0"/>
      </w:tblPr>
      <w:tblGrid>
        <w:gridCol w:w="1890"/>
        <w:gridCol w:w="7625"/>
      </w:tblGrid>
      <w:tr w:rsidR="00E77029" w:rsidRPr="00CB0C5E">
        <w:tc>
          <w:tcPr>
            <w:tcW w:w="1890" w:type="dxa"/>
            <w:tcBorders>
              <w:top w:val="nil"/>
              <w:left w:val="nil"/>
              <w:bottom w:val="nil"/>
              <w:right w:val="nil"/>
            </w:tcBorders>
            <w:tcMar>
              <w:left w:w="115" w:type="dxa"/>
              <w:right w:w="115" w:type="dxa"/>
            </w:tcMar>
          </w:tcPr>
          <w:p w:rsidR="00E77029" w:rsidRPr="00CB0C5E" w:rsidRDefault="00E77029" w:rsidP="00011229">
            <w:pPr>
              <w:pStyle w:val="MarginSubhead"/>
            </w:pPr>
            <w:r w:rsidRPr="00CB0C5E">
              <w:t>Delegation oversight relief</w:t>
            </w:r>
          </w:p>
        </w:tc>
        <w:tc>
          <w:tcPr>
            <w:tcW w:w="7625" w:type="dxa"/>
            <w:tcBorders>
              <w:top w:val="nil"/>
              <w:left w:val="nil"/>
              <w:bottom w:val="nil"/>
              <w:right w:val="nil"/>
            </w:tcBorders>
            <w:tcMar>
              <w:left w:w="115" w:type="dxa"/>
              <w:right w:w="115" w:type="dxa"/>
            </w:tcMar>
          </w:tcPr>
          <w:p w:rsidR="00E77029" w:rsidRPr="00CB0C5E" w:rsidRDefault="00E77029" w:rsidP="00E77029">
            <w:pPr>
              <w:pStyle w:val="Body"/>
            </w:pPr>
            <w:r w:rsidRPr="00CB0C5E">
              <w:t xml:space="preserve">When an organization delegates defined activities to an </w:t>
            </w:r>
            <w:r w:rsidR="00300AF0" w:rsidRPr="00CB0C5E">
              <w:t>NCQA</w:t>
            </w:r>
            <w:r w:rsidR="00BF61ED">
              <w:t>-</w:t>
            </w:r>
            <w:r w:rsidR="00300AF0" w:rsidRPr="00CB0C5E">
              <w:t>Accredited or</w:t>
            </w:r>
            <w:r w:rsidRPr="00CB0C5E">
              <w:t xml:space="preserve"> </w:t>
            </w:r>
            <w:r w:rsidR="00A809B6" w:rsidRPr="00CB0C5E">
              <w:br/>
            </w:r>
            <w:r w:rsidR="007329DA" w:rsidRPr="00CB0C5E">
              <w:t>NCQA-Certified o</w:t>
            </w:r>
            <w:r w:rsidRPr="00CB0C5E">
              <w:t>rganization, the expectation of a formal predelegation evaluation, annual evaluation and annul audit, as applicable, and the determination of meeting NCQA standards are satisfied for activities covered within the delegate</w:t>
            </w:r>
            <w:r w:rsidR="007E6C70">
              <w:t>’</w:t>
            </w:r>
            <w:r w:rsidRPr="00CB0C5E">
              <w:t>s NCQA</w:t>
            </w:r>
            <w:r w:rsidR="00783071" w:rsidRPr="00CB0C5E">
              <w:t xml:space="preserve"> </w:t>
            </w:r>
            <w:r w:rsidRPr="00CB0C5E">
              <w:t xml:space="preserve">Accreditation </w:t>
            </w:r>
            <w:r w:rsidR="003E2C99" w:rsidRPr="00CB0C5E">
              <w:t xml:space="preserve">Survey </w:t>
            </w:r>
            <w:r w:rsidRPr="00CB0C5E">
              <w:t xml:space="preserve">or </w:t>
            </w:r>
            <w:r w:rsidR="00200835" w:rsidRPr="00CB0C5E">
              <w:t>NCQA</w:t>
            </w:r>
            <w:r w:rsidR="00783071" w:rsidRPr="00CB0C5E">
              <w:t xml:space="preserve"> </w:t>
            </w:r>
            <w:r w:rsidRPr="00CB0C5E">
              <w:t xml:space="preserve">Certification </w:t>
            </w:r>
            <w:r w:rsidR="009325BD" w:rsidRPr="00CB0C5E">
              <w:t>S</w:t>
            </w:r>
            <w:r w:rsidRPr="00CB0C5E">
              <w:t xml:space="preserve">urvey. </w:t>
            </w:r>
          </w:p>
          <w:p w:rsidR="00E77029" w:rsidRDefault="00E77029" w:rsidP="002C4668">
            <w:pPr>
              <w:pStyle w:val="Body"/>
            </w:pPr>
            <w:r w:rsidRPr="00CB0C5E">
              <w:t xml:space="preserve">NCQA waives the predelegation assessment and annual oversight requirements of </w:t>
            </w:r>
            <w:r w:rsidR="00300AF0" w:rsidRPr="00CB0C5E">
              <w:t>NCQA Accredited or</w:t>
            </w:r>
            <w:r w:rsidR="00AC1547" w:rsidRPr="00CB0C5E">
              <w:t xml:space="preserve"> </w:t>
            </w:r>
            <w:r w:rsidR="00265816" w:rsidRPr="00CB0C5E">
              <w:t>NCQA</w:t>
            </w:r>
            <w:r w:rsidR="00083605" w:rsidRPr="00CB0C5E">
              <w:t xml:space="preserve"> </w:t>
            </w:r>
            <w:r w:rsidRPr="00CB0C5E">
              <w:t>Certified delegates. Oversight relief is not available for activities that are not covered—including NA activities—</w:t>
            </w:r>
            <w:r w:rsidR="0023235C" w:rsidRPr="00CB0C5E">
              <w:t>in the scope</w:t>
            </w:r>
            <w:r w:rsidRPr="00CB0C5E">
              <w:t xml:space="preserve"> of a delegate</w:t>
            </w:r>
            <w:r w:rsidR="007E6C70">
              <w:t>’</w:t>
            </w:r>
            <w:r w:rsidRPr="00CB0C5E">
              <w:t>s NCQA</w:t>
            </w:r>
            <w:r w:rsidR="003E2C99" w:rsidRPr="00CB0C5E">
              <w:t xml:space="preserve"> </w:t>
            </w:r>
            <w:r w:rsidRPr="00CB0C5E">
              <w:t xml:space="preserve">Accreditation </w:t>
            </w:r>
            <w:r w:rsidR="003E2C99" w:rsidRPr="00CB0C5E">
              <w:t xml:space="preserve">Survey </w:t>
            </w:r>
            <w:r w:rsidRPr="00CB0C5E">
              <w:t xml:space="preserve">or </w:t>
            </w:r>
            <w:r w:rsidR="00200835" w:rsidRPr="00CB0C5E">
              <w:t>NCQA</w:t>
            </w:r>
            <w:r w:rsidR="003E2C99" w:rsidRPr="00CB0C5E">
              <w:t xml:space="preserve"> </w:t>
            </w:r>
            <w:r w:rsidRPr="00CB0C5E">
              <w:t xml:space="preserve">Certification </w:t>
            </w:r>
            <w:r w:rsidR="009325BD" w:rsidRPr="00CB0C5E">
              <w:t>S</w:t>
            </w:r>
            <w:r w:rsidRPr="00CB0C5E">
              <w:t>urvey.</w:t>
            </w:r>
          </w:p>
          <w:p w:rsidR="00011229" w:rsidRPr="00011229" w:rsidRDefault="00011229" w:rsidP="00011229">
            <w:pPr>
              <w:pStyle w:val="Body"/>
            </w:pPr>
            <w:r w:rsidRPr="00011229">
              <w:t>Oversight relief is only available for elements and categories (certification options) in which an NCQA-Certified organization received certification. For example, a CVO may elect not to seek or may not receive Certification for Ongoing Monitoring of Sanction Information. If the CVO is certified in all other certification options and an organization delegates ongoing monitoring to the CVO, it does not receive oversight relief for delegated ongoing monitoring activities and is required to conduct predelegation and annual evaluations of the delegate.</w:t>
            </w:r>
          </w:p>
          <w:p w:rsidR="00011229" w:rsidRPr="00CB0C5E" w:rsidRDefault="00011229" w:rsidP="00084851">
            <w:pPr>
              <w:pStyle w:val="Body"/>
            </w:pPr>
            <w:r w:rsidRPr="00011229">
              <w:t xml:space="preserve">NCQA gives the organization credit on specific delegation oversight elements for NCQA-Accredited or NCQA-Certified delegates selected for review during the organization’s survey. The organization receives a 100% score for specified delegation oversight elements if all potential delegates are NCQA Accredited or NCQA Certified. The restrictions noted </w:t>
            </w:r>
            <w:r w:rsidR="00084851">
              <w:t>above</w:t>
            </w:r>
            <w:r w:rsidRPr="00011229">
              <w:t xml:space="preserve"> apply.</w:t>
            </w:r>
          </w:p>
        </w:tc>
      </w:tr>
      <w:tr w:rsidR="00680EF0" w:rsidRPr="00CB0C5E">
        <w:tc>
          <w:tcPr>
            <w:tcW w:w="1890" w:type="dxa"/>
            <w:tcBorders>
              <w:top w:val="nil"/>
              <w:left w:val="nil"/>
              <w:bottom w:val="nil"/>
              <w:right w:val="nil"/>
            </w:tcBorders>
            <w:tcMar>
              <w:left w:w="115" w:type="dxa"/>
              <w:right w:w="115" w:type="dxa"/>
            </w:tcMar>
          </w:tcPr>
          <w:p w:rsidR="00680EF0" w:rsidRPr="00011229" w:rsidRDefault="00011229" w:rsidP="00011229">
            <w:pPr>
              <w:pStyle w:val="MarginSubhead"/>
              <w:jc w:val="right"/>
              <w:rPr>
                <w:i/>
              </w:rPr>
            </w:pPr>
            <w:r w:rsidRPr="00011229">
              <w:rPr>
                <w:i/>
              </w:rPr>
              <w:t xml:space="preserve">...for </w:t>
            </w:r>
            <w:r w:rsidR="00680EF0" w:rsidRPr="00011229">
              <w:rPr>
                <w:i/>
              </w:rPr>
              <w:t xml:space="preserve">NCQA Accreditation </w:t>
            </w:r>
            <w:r w:rsidR="00C27B46" w:rsidRPr="00011229">
              <w:rPr>
                <w:i/>
              </w:rPr>
              <w:t>Programs</w:t>
            </w:r>
          </w:p>
        </w:tc>
        <w:tc>
          <w:tcPr>
            <w:tcW w:w="7625" w:type="dxa"/>
            <w:tcBorders>
              <w:top w:val="nil"/>
              <w:left w:val="nil"/>
              <w:bottom w:val="dotted" w:sz="6" w:space="0" w:color="auto"/>
              <w:right w:val="nil"/>
            </w:tcBorders>
            <w:tcMar>
              <w:left w:w="115" w:type="dxa"/>
              <w:right w:w="115" w:type="dxa"/>
            </w:tcMar>
          </w:tcPr>
          <w:p w:rsidR="00680EF0" w:rsidRPr="00CB0C5E" w:rsidRDefault="00680EF0" w:rsidP="007E6C70">
            <w:pPr>
              <w:pStyle w:val="Bullet"/>
              <w:spacing w:before="180"/>
            </w:pPr>
            <w:r w:rsidRPr="00CB0C5E">
              <w:t>Health Plan (HP)</w:t>
            </w:r>
            <w:r w:rsidR="00183FDE" w:rsidRPr="00CB0C5E">
              <w:t>.</w:t>
            </w:r>
          </w:p>
          <w:p w:rsidR="00680EF0" w:rsidRPr="00CB0C5E" w:rsidRDefault="00680EF0" w:rsidP="002229D3">
            <w:pPr>
              <w:pStyle w:val="Bullet"/>
            </w:pPr>
            <w:r w:rsidRPr="00CB0C5E">
              <w:t>New Health Plan (NHP)</w:t>
            </w:r>
            <w:r w:rsidR="00183FDE" w:rsidRPr="00CB0C5E">
              <w:t>.</w:t>
            </w:r>
          </w:p>
          <w:p w:rsidR="00680EF0" w:rsidRPr="00CB0C5E" w:rsidRDefault="00680EF0" w:rsidP="002229D3">
            <w:pPr>
              <w:pStyle w:val="Bullet"/>
            </w:pPr>
            <w:r w:rsidRPr="00CB0C5E">
              <w:t>Managed Behavioral Health Organization (MBHO)</w:t>
            </w:r>
            <w:r w:rsidR="00183FDE" w:rsidRPr="00CB0C5E">
              <w:t>.</w:t>
            </w:r>
          </w:p>
          <w:p w:rsidR="00F1725F" w:rsidRPr="00D7284E" w:rsidRDefault="00D7284E" w:rsidP="002229D3">
            <w:pPr>
              <w:pStyle w:val="Bullet"/>
            </w:pPr>
            <w:r>
              <w:t>Accountable Care Organization</w:t>
            </w:r>
            <w:r w:rsidR="00F1725F" w:rsidRPr="00D7284E">
              <w:t xml:space="preserve"> (ACO)</w:t>
            </w:r>
          </w:p>
          <w:p w:rsidR="00CF5627" w:rsidRPr="00CB0C5E" w:rsidRDefault="00CF5627" w:rsidP="002229D3">
            <w:pPr>
              <w:pStyle w:val="Bullet"/>
              <w:rPr>
                <w:i/>
              </w:rPr>
            </w:pPr>
            <w:r w:rsidRPr="00CB0C5E">
              <w:t>Case Management (CM)</w:t>
            </w:r>
          </w:p>
          <w:p w:rsidR="00680EF0" w:rsidRPr="00CB0C5E" w:rsidRDefault="00680EF0" w:rsidP="002229D3">
            <w:pPr>
              <w:pStyle w:val="Bullet"/>
              <w:rPr>
                <w:i/>
              </w:rPr>
            </w:pPr>
            <w:r w:rsidRPr="00CB0C5E">
              <w:t>Disease Management (DM)</w:t>
            </w:r>
            <w:r w:rsidR="00183FDE" w:rsidRPr="00CB0C5E">
              <w:t>.</w:t>
            </w:r>
          </w:p>
          <w:p w:rsidR="003E6719" w:rsidRPr="00CB0C5E" w:rsidRDefault="003E6719" w:rsidP="001D6A01">
            <w:pPr>
              <w:pStyle w:val="Bullet"/>
              <w:spacing w:after="60"/>
              <w:rPr>
                <w:i/>
              </w:rPr>
            </w:pPr>
            <w:r w:rsidRPr="00CB0C5E">
              <w:t>Wellness and Health Promotion</w:t>
            </w:r>
            <w:r w:rsidR="001D6A01" w:rsidRPr="00CB0C5E">
              <w:t xml:space="preserve"> (WHP)</w:t>
            </w:r>
            <w:r w:rsidR="00183FDE" w:rsidRPr="00CB0C5E">
              <w:t>.</w:t>
            </w:r>
          </w:p>
        </w:tc>
      </w:tr>
      <w:tr w:rsidR="00741D58" w:rsidRPr="00CB0C5E" w:rsidTr="00011229">
        <w:tc>
          <w:tcPr>
            <w:tcW w:w="1890" w:type="dxa"/>
            <w:tcBorders>
              <w:top w:val="nil"/>
              <w:left w:val="nil"/>
              <w:bottom w:val="nil"/>
              <w:right w:val="nil"/>
            </w:tcBorders>
            <w:tcMar>
              <w:left w:w="115" w:type="dxa"/>
              <w:right w:w="115" w:type="dxa"/>
            </w:tcMar>
          </w:tcPr>
          <w:p w:rsidR="00741D58" w:rsidRPr="00011229" w:rsidRDefault="00011229" w:rsidP="00011229">
            <w:pPr>
              <w:pStyle w:val="MarginSubhead"/>
              <w:jc w:val="right"/>
              <w:rPr>
                <w:i/>
              </w:rPr>
            </w:pPr>
            <w:r w:rsidRPr="00011229">
              <w:rPr>
                <w:i/>
              </w:rPr>
              <w:t xml:space="preserve">...for </w:t>
            </w:r>
            <w:r w:rsidR="00741D58" w:rsidRPr="00011229">
              <w:rPr>
                <w:i/>
              </w:rPr>
              <w:t>NCQA Certification Programs</w:t>
            </w:r>
          </w:p>
        </w:tc>
        <w:tc>
          <w:tcPr>
            <w:tcW w:w="7625" w:type="dxa"/>
            <w:tcBorders>
              <w:top w:val="dotted" w:sz="6" w:space="0" w:color="auto"/>
              <w:left w:val="nil"/>
              <w:bottom w:val="dotted" w:sz="6" w:space="0" w:color="auto"/>
              <w:right w:val="nil"/>
            </w:tcBorders>
            <w:tcMar>
              <w:left w:w="115" w:type="dxa"/>
              <w:right w:w="115" w:type="dxa"/>
            </w:tcMar>
          </w:tcPr>
          <w:p w:rsidR="00741D58" w:rsidRPr="00CB0C5E" w:rsidRDefault="00741D58" w:rsidP="00741D58">
            <w:pPr>
              <w:pStyle w:val="ProcessBullet"/>
              <w:ind w:left="576"/>
            </w:pPr>
            <w:r w:rsidRPr="00CB0C5E">
              <w:t>Credentials Verification Organization (CVO).</w:t>
            </w:r>
          </w:p>
          <w:p w:rsidR="00741D58" w:rsidRPr="00CB0C5E" w:rsidRDefault="00741D58" w:rsidP="00741D58">
            <w:pPr>
              <w:pStyle w:val="ProcessBullet"/>
              <w:ind w:left="576"/>
            </w:pPr>
            <w:r w:rsidRPr="00CB0C5E">
              <w:t>Health Information Products (HIP).</w:t>
            </w:r>
          </w:p>
          <w:p w:rsidR="00741D58" w:rsidRPr="00CB0C5E" w:rsidRDefault="00741D58" w:rsidP="00741D58">
            <w:pPr>
              <w:pStyle w:val="ProcessBullet"/>
              <w:ind w:left="576"/>
            </w:pPr>
            <w:r w:rsidRPr="00CB0C5E">
              <w:t>Physician Hospital Quality (PHQ).</w:t>
            </w:r>
          </w:p>
          <w:p w:rsidR="00741D58" w:rsidRPr="00CB0C5E" w:rsidRDefault="00741D58" w:rsidP="00741D58">
            <w:pPr>
              <w:pStyle w:val="ProcessBullet"/>
              <w:ind w:left="576"/>
            </w:pPr>
            <w:r w:rsidRPr="00CB0C5E">
              <w:t>Disease Management (DM).</w:t>
            </w:r>
          </w:p>
          <w:p w:rsidR="00741D58" w:rsidRPr="00CB0C5E" w:rsidRDefault="00741D58" w:rsidP="00084851">
            <w:pPr>
              <w:pStyle w:val="ProcessBullet"/>
              <w:spacing w:after="60"/>
              <w:ind w:left="576"/>
            </w:pPr>
            <w:r w:rsidRPr="00CB0C5E">
              <w:t>Utilization Management and Credentialing (UM/CR).</w:t>
            </w:r>
          </w:p>
        </w:tc>
      </w:tr>
      <w:tr w:rsidR="00741D58" w:rsidRPr="00CB0C5E" w:rsidTr="00011229">
        <w:tc>
          <w:tcPr>
            <w:tcW w:w="1890" w:type="dxa"/>
            <w:tcBorders>
              <w:top w:val="nil"/>
              <w:left w:val="nil"/>
              <w:bottom w:val="nil"/>
              <w:right w:val="nil"/>
            </w:tcBorders>
            <w:tcMar>
              <w:left w:w="115" w:type="dxa"/>
              <w:right w:w="115" w:type="dxa"/>
            </w:tcMar>
          </w:tcPr>
          <w:p w:rsidR="00741D58" w:rsidRPr="00011229" w:rsidRDefault="00011229" w:rsidP="00011229">
            <w:pPr>
              <w:pStyle w:val="MarginSubhead"/>
              <w:jc w:val="right"/>
              <w:rPr>
                <w:i/>
              </w:rPr>
            </w:pPr>
            <w:r w:rsidRPr="00011229">
              <w:rPr>
                <w:i/>
              </w:rPr>
              <w:t xml:space="preserve">...for </w:t>
            </w:r>
            <w:r w:rsidR="00741D58" w:rsidRPr="00011229">
              <w:rPr>
                <w:i/>
              </w:rPr>
              <w:t>NCQA Recognition Program</w:t>
            </w:r>
            <w:r w:rsidR="00071991">
              <w:rPr>
                <w:i/>
              </w:rPr>
              <w:t>s</w:t>
            </w:r>
          </w:p>
        </w:tc>
        <w:tc>
          <w:tcPr>
            <w:tcW w:w="7625" w:type="dxa"/>
            <w:tcBorders>
              <w:top w:val="dotted" w:sz="6" w:space="0" w:color="auto"/>
              <w:left w:val="nil"/>
              <w:bottom w:val="nil"/>
              <w:right w:val="nil"/>
            </w:tcBorders>
            <w:tcMar>
              <w:left w:w="115" w:type="dxa"/>
              <w:right w:w="115" w:type="dxa"/>
            </w:tcMar>
          </w:tcPr>
          <w:p w:rsidR="00741D58" w:rsidRPr="00CB0C5E" w:rsidRDefault="00741D58" w:rsidP="00741D58">
            <w:pPr>
              <w:pStyle w:val="ProcessBullet"/>
              <w:ind w:left="576"/>
            </w:pPr>
            <w:r>
              <w:t>Patient Centered Medical Home (PCMH)</w:t>
            </w:r>
            <w:r w:rsidR="00084851">
              <w:t>.</w:t>
            </w:r>
          </w:p>
        </w:tc>
      </w:tr>
    </w:tbl>
    <w:p w:rsidR="00011229" w:rsidRDefault="00011229">
      <w:pPr>
        <w:sectPr w:rsidR="00011229" w:rsidSect="00744802">
          <w:pgSz w:w="12240" w:h="15840" w:code="1"/>
          <w:pgMar w:top="1080" w:right="1440" w:bottom="1080" w:left="1440" w:header="720" w:footer="720" w:gutter="0"/>
          <w:cols w:space="720"/>
        </w:sectPr>
      </w:pPr>
    </w:p>
    <w:tbl>
      <w:tblPr>
        <w:tblW w:w="0" w:type="auto"/>
        <w:tblInd w:w="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80" w:type="dxa"/>
          <w:right w:w="180" w:type="dxa"/>
        </w:tblCellMar>
        <w:tblLook w:val="0000" w:firstRow="0" w:lastRow="0" w:firstColumn="0" w:lastColumn="0" w:noHBand="0" w:noVBand="0"/>
      </w:tblPr>
      <w:tblGrid>
        <w:gridCol w:w="2160"/>
        <w:gridCol w:w="7290"/>
      </w:tblGrid>
      <w:tr w:rsidR="007330AF" w:rsidRPr="00CB0C5E" w:rsidTr="00084851">
        <w:tc>
          <w:tcPr>
            <w:tcW w:w="2160" w:type="dxa"/>
            <w:tcBorders>
              <w:top w:val="nil"/>
              <w:left w:val="nil"/>
              <w:bottom w:val="nil"/>
              <w:right w:val="nil"/>
            </w:tcBorders>
            <w:tcMar>
              <w:left w:w="115" w:type="dxa"/>
              <w:right w:w="115" w:type="dxa"/>
            </w:tcMar>
          </w:tcPr>
          <w:p w:rsidR="007330AF" w:rsidRPr="00CB0C5E" w:rsidRDefault="007330AF" w:rsidP="00011229">
            <w:pPr>
              <w:pStyle w:val="MarginSubhead"/>
              <w:spacing w:before="0"/>
            </w:pPr>
            <w:r w:rsidRPr="00CB0C5E">
              <w:lastRenderedPageBreak/>
              <w:t xml:space="preserve">Automatic credit </w:t>
            </w:r>
          </w:p>
        </w:tc>
        <w:tc>
          <w:tcPr>
            <w:tcW w:w="7290" w:type="dxa"/>
            <w:tcBorders>
              <w:top w:val="nil"/>
              <w:left w:val="nil"/>
              <w:bottom w:val="nil"/>
              <w:right w:val="nil"/>
            </w:tcBorders>
            <w:tcMar>
              <w:left w:w="115" w:type="dxa"/>
              <w:right w:w="115" w:type="dxa"/>
            </w:tcMar>
          </w:tcPr>
          <w:p w:rsidR="007330AF" w:rsidRPr="00CB0C5E" w:rsidRDefault="007330AF" w:rsidP="00011229">
            <w:pPr>
              <w:pStyle w:val="Body"/>
              <w:spacing w:before="0"/>
            </w:pPr>
            <w:r w:rsidRPr="00CB0C5E">
              <w:t xml:space="preserve">Under certain conditions, NCQA offers automatic credit for selected elements if the organization delegates to an </w:t>
            </w:r>
            <w:r w:rsidR="00300AF0" w:rsidRPr="00CB0C5E">
              <w:t>NCQA</w:t>
            </w:r>
            <w:r w:rsidR="00084851">
              <w:t>-</w:t>
            </w:r>
            <w:r w:rsidR="00300AF0" w:rsidRPr="00CB0C5E">
              <w:t>Accredited or</w:t>
            </w:r>
            <w:r w:rsidRPr="00CB0C5E">
              <w:t xml:space="preserve"> </w:t>
            </w:r>
            <w:r w:rsidR="007329DA" w:rsidRPr="00CB0C5E">
              <w:t>NCQA-Certified o</w:t>
            </w:r>
            <w:r w:rsidRPr="00CB0C5E">
              <w:t>rganization. The delegating organization must meet the following crite</w:t>
            </w:r>
            <w:r w:rsidR="00D71F29" w:rsidRPr="00CB0C5E">
              <w:t>ria to receive automatic credit:</w:t>
            </w:r>
          </w:p>
          <w:p w:rsidR="007330AF" w:rsidRPr="00CB0C5E" w:rsidRDefault="007330AF" w:rsidP="004A58CF">
            <w:pPr>
              <w:pStyle w:val="Bullet"/>
            </w:pPr>
            <w:r w:rsidRPr="00CB0C5E">
              <w:t>A signed delegation agreement must be in effect before the submission of the Survey Tool</w:t>
            </w:r>
            <w:r w:rsidR="00D71F29" w:rsidRPr="00CB0C5E">
              <w:t>.</w:t>
            </w:r>
          </w:p>
          <w:p w:rsidR="007330AF" w:rsidRPr="00CB0C5E" w:rsidRDefault="007330AF" w:rsidP="004A58CF">
            <w:pPr>
              <w:pStyle w:val="Bullet"/>
            </w:pPr>
            <w:r w:rsidRPr="00CB0C5E">
              <w:t xml:space="preserve">The delegated entity must be </w:t>
            </w:r>
            <w:r w:rsidR="00300AF0" w:rsidRPr="00CB0C5E">
              <w:t>NCQA Accredited or</w:t>
            </w:r>
            <w:r w:rsidRPr="00CB0C5E">
              <w:t xml:space="preserve"> </w:t>
            </w:r>
            <w:r w:rsidR="007329DA" w:rsidRPr="00CB0C5E">
              <w:t>NCQA</w:t>
            </w:r>
            <w:r w:rsidR="00084851">
              <w:t xml:space="preserve"> </w:t>
            </w:r>
            <w:r w:rsidR="007329DA" w:rsidRPr="00CB0C5E">
              <w:t>Certified o</w:t>
            </w:r>
            <w:r w:rsidRPr="00CB0C5E">
              <w:t xml:space="preserve">n or before the </w:t>
            </w:r>
            <w:r w:rsidR="008A2F8D">
              <w:t xml:space="preserve">Survey Tool </w:t>
            </w:r>
            <w:r w:rsidR="00B70D0C" w:rsidRPr="00CB0C5E">
              <w:t>submission</w:t>
            </w:r>
            <w:r w:rsidR="008A2F8D">
              <w:t xml:space="preserve"> date</w:t>
            </w:r>
            <w:r w:rsidR="00D71F29" w:rsidRPr="00CB0C5E">
              <w:t>.</w:t>
            </w:r>
          </w:p>
          <w:p w:rsidR="00011229" w:rsidRPr="00CB0C5E" w:rsidRDefault="00011229" w:rsidP="00011229">
            <w:pPr>
              <w:pStyle w:val="Bullet"/>
            </w:pPr>
            <w:r w:rsidRPr="00CB0C5E">
              <w:t>The delegate</w:t>
            </w:r>
            <w:r>
              <w:t>’</w:t>
            </w:r>
            <w:r w:rsidRPr="00CB0C5E">
              <w:t>s Accreditation Survey or Certification Survey must have included the specific elements for which the organization seeks automatic credit.</w:t>
            </w:r>
          </w:p>
          <w:p w:rsidR="00011229" w:rsidRDefault="00011229" w:rsidP="00011229">
            <w:pPr>
              <w:pStyle w:val="Bullet"/>
            </w:pPr>
            <w:r w:rsidRPr="00011229">
              <w:rPr>
                <w:i/>
              </w:rPr>
              <w:t>For non-file review elements other than CR,</w:t>
            </w:r>
            <w:r w:rsidRPr="00CB0C5E">
              <w:t xml:space="preserve"> at least 70 percent of the organization</w:t>
            </w:r>
            <w:r>
              <w:t>’</w:t>
            </w:r>
            <w:r w:rsidRPr="00CB0C5E">
              <w:t>s membership is covered by the NCQA</w:t>
            </w:r>
            <w:r w:rsidR="00084851">
              <w:t>-</w:t>
            </w:r>
            <w:r w:rsidRPr="00CB0C5E">
              <w:t>Accredited or NCQA</w:t>
            </w:r>
            <w:r w:rsidR="00084851">
              <w:t>-</w:t>
            </w:r>
            <w:r w:rsidRPr="00CB0C5E">
              <w:t>Certified delegate</w:t>
            </w:r>
            <w:r>
              <w:t>’</w:t>
            </w:r>
            <w:r w:rsidRPr="00CB0C5E">
              <w:t>s services.</w:t>
            </w:r>
            <w:r>
              <w:t xml:space="preserve"> </w:t>
            </w:r>
          </w:p>
          <w:p w:rsidR="007330AF" w:rsidRPr="00CB0C5E" w:rsidRDefault="00011229" w:rsidP="00011229">
            <w:pPr>
              <w:pStyle w:val="Bullet"/>
            </w:pPr>
            <w:r w:rsidRPr="00011229">
              <w:rPr>
                <w:i/>
              </w:rPr>
              <w:t>For non-file review elements for CR,</w:t>
            </w:r>
            <w:r w:rsidRPr="00CB0C5E">
              <w:t xml:space="preserve"> at least 70 percent of the organization</w:t>
            </w:r>
            <w:r>
              <w:t>’</w:t>
            </w:r>
            <w:r w:rsidRPr="00CB0C5E">
              <w:t xml:space="preserve">s </w:t>
            </w:r>
            <w:r>
              <w:t>practitioners are</w:t>
            </w:r>
            <w:r w:rsidRPr="00CB0C5E">
              <w:t xml:space="preserve"> covered by the NCQA</w:t>
            </w:r>
            <w:r>
              <w:t>-</w:t>
            </w:r>
            <w:r w:rsidRPr="00CB0C5E">
              <w:t>Accredited or NCQA</w:t>
            </w:r>
            <w:r>
              <w:t>-</w:t>
            </w:r>
            <w:r w:rsidRPr="00CB0C5E">
              <w:t>Certified delegate</w:t>
            </w:r>
            <w:r>
              <w:t>’</w:t>
            </w:r>
            <w:r w:rsidRPr="00CB0C5E">
              <w:t>s services</w:t>
            </w:r>
            <w:r>
              <w:t>.</w:t>
            </w:r>
          </w:p>
        </w:tc>
      </w:tr>
      <w:tr w:rsidR="008364BD" w:rsidRPr="00CB0C5E" w:rsidTr="00084851">
        <w:tc>
          <w:tcPr>
            <w:tcW w:w="2160" w:type="dxa"/>
            <w:tcBorders>
              <w:top w:val="nil"/>
              <w:left w:val="nil"/>
              <w:bottom w:val="nil"/>
              <w:right w:val="nil"/>
            </w:tcBorders>
            <w:tcMar>
              <w:left w:w="115" w:type="dxa"/>
              <w:right w:w="115" w:type="dxa"/>
            </w:tcMar>
          </w:tcPr>
          <w:p w:rsidR="008364BD" w:rsidRPr="00CB0C5E" w:rsidRDefault="008364BD" w:rsidP="002535A7">
            <w:pPr>
              <w:pStyle w:val="MarginSubhead"/>
            </w:pPr>
            <w:r w:rsidRPr="00CB0C5E">
              <w:t>Terminated delegates</w:t>
            </w:r>
          </w:p>
        </w:tc>
        <w:tc>
          <w:tcPr>
            <w:tcW w:w="7290" w:type="dxa"/>
            <w:tcBorders>
              <w:top w:val="nil"/>
              <w:left w:val="nil"/>
              <w:bottom w:val="nil"/>
              <w:right w:val="nil"/>
            </w:tcBorders>
            <w:tcMar>
              <w:left w:w="115" w:type="dxa"/>
              <w:right w:w="115" w:type="dxa"/>
            </w:tcMar>
          </w:tcPr>
          <w:p w:rsidR="0042329A" w:rsidRDefault="008364BD" w:rsidP="00ED6A75">
            <w:pPr>
              <w:pStyle w:val="Body"/>
            </w:pPr>
            <w:r w:rsidRPr="00CB0C5E">
              <w:t xml:space="preserve">For non-file-review elements, an organization that terminated its delegation agreement with an </w:t>
            </w:r>
            <w:r w:rsidR="00300AF0" w:rsidRPr="00CB0C5E">
              <w:t>NCQA</w:t>
            </w:r>
            <w:r w:rsidR="00084851">
              <w:t>-</w:t>
            </w:r>
            <w:r w:rsidR="00300AF0" w:rsidRPr="00CB0C5E">
              <w:t>Accredited or</w:t>
            </w:r>
            <w:r w:rsidR="00AC1547" w:rsidRPr="00CB0C5E">
              <w:t xml:space="preserve"> </w:t>
            </w:r>
            <w:r w:rsidR="007329DA" w:rsidRPr="00CB0C5E">
              <w:t>NCQA-Certified o</w:t>
            </w:r>
            <w:r w:rsidRPr="00CB0C5E">
              <w:t>rganization within the three months prior to the organization</w:t>
            </w:r>
            <w:r w:rsidR="007E6C70">
              <w:t>’</w:t>
            </w:r>
            <w:r w:rsidRPr="00CB0C5E">
              <w:t xml:space="preserve">s survey remains eligible for automatic credit for the relevant standard, element or </w:t>
            </w:r>
            <w:r w:rsidR="00D22D81" w:rsidRPr="00CB0C5E">
              <w:t xml:space="preserve">element </w:t>
            </w:r>
            <w:r w:rsidRPr="00CB0C5E">
              <w:t>factors covered in the prior delegation agreement.</w:t>
            </w:r>
            <w:r w:rsidR="00DA7CA1" w:rsidRPr="00CB0C5E">
              <w:t xml:space="preserve"> </w:t>
            </w:r>
            <w:r w:rsidRPr="00CB0C5E">
              <w:t xml:space="preserve">The organization must provide documentation </w:t>
            </w:r>
            <w:r w:rsidR="00D22D81" w:rsidRPr="00CB0C5E">
              <w:t>that it meets the</w:t>
            </w:r>
            <w:r w:rsidRPr="00CB0C5E">
              <w:t xml:space="preserve"> requirements.</w:t>
            </w:r>
            <w:r w:rsidR="0042329A" w:rsidRPr="00CB0C5E">
              <w:t xml:space="preserve"> The organization does not receive automatic credit </w:t>
            </w:r>
            <w:r w:rsidR="00D22D81" w:rsidRPr="00CB0C5E">
              <w:t xml:space="preserve">for </w:t>
            </w:r>
            <w:r w:rsidR="0042329A" w:rsidRPr="00CB0C5E">
              <w:t>non-</w:t>
            </w:r>
            <w:r w:rsidR="00D22D81" w:rsidRPr="00CB0C5E">
              <w:t>file-</w:t>
            </w:r>
            <w:r w:rsidR="0042329A" w:rsidRPr="00CB0C5E">
              <w:t>review delegated activities for d</w:t>
            </w:r>
            <w:r w:rsidRPr="00CB0C5E">
              <w:t>elegation arrangement</w:t>
            </w:r>
            <w:r w:rsidR="00D22D81" w:rsidRPr="00CB0C5E">
              <w:t>s</w:t>
            </w:r>
            <w:r w:rsidRPr="00CB0C5E">
              <w:t xml:space="preserve"> terminated</w:t>
            </w:r>
            <w:r w:rsidR="0042329A" w:rsidRPr="00CB0C5E">
              <w:t xml:space="preserve"> more than three months prior to </w:t>
            </w:r>
            <w:r w:rsidR="00D22D81" w:rsidRPr="00CB0C5E">
              <w:t>the</w:t>
            </w:r>
            <w:r w:rsidR="0042329A" w:rsidRPr="00CB0C5E">
              <w:t xml:space="preserve"> survey.</w:t>
            </w:r>
            <w:r w:rsidRPr="00CB0C5E">
              <w:t xml:space="preserve"> </w:t>
            </w:r>
          </w:p>
          <w:p w:rsidR="007E6C70" w:rsidRPr="00CB0C5E" w:rsidRDefault="007E6C70" w:rsidP="007E6C70">
            <w:pPr>
              <w:pStyle w:val="Body"/>
            </w:pPr>
            <w:r w:rsidRPr="00CB0C5E">
              <w:t>For file review elements performed by terminated NCQA</w:t>
            </w:r>
            <w:r w:rsidR="00084851">
              <w:t>-</w:t>
            </w:r>
            <w:r w:rsidRPr="00CB0C5E">
              <w:t>Accredited delegates, the organization receives automatic credit if it meets the following criteria for the period during which the file was processed:</w:t>
            </w:r>
          </w:p>
          <w:p w:rsidR="007E6C70" w:rsidRPr="00CB0C5E" w:rsidRDefault="007E6C70" w:rsidP="007E6C70">
            <w:pPr>
              <w:pStyle w:val="Bullet"/>
            </w:pPr>
            <w:r w:rsidRPr="00CB0C5E">
              <w:t>There was a delegation agreement between the organization and the delegate for the activity.</w:t>
            </w:r>
          </w:p>
          <w:p w:rsidR="007E6C70" w:rsidRPr="00CB0C5E" w:rsidRDefault="007E6C70" w:rsidP="007E6C70">
            <w:pPr>
              <w:pStyle w:val="Bullet"/>
            </w:pPr>
            <w:r w:rsidRPr="00CB0C5E">
              <w:t>The delegate had an NCQA Accredit</w:t>
            </w:r>
            <w:r w:rsidR="00084851">
              <w:t>ation</w:t>
            </w:r>
            <w:r w:rsidRPr="00CB0C5E">
              <w:t xml:space="preserve"> status at the time of delegation.</w:t>
            </w:r>
          </w:p>
        </w:tc>
      </w:tr>
      <w:tr w:rsidR="00B501D6" w:rsidRPr="00CB0C5E" w:rsidTr="00084851">
        <w:tc>
          <w:tcPr>
            <w:tcW w:w="2160" w:type="dxa"/>
            <w:tcBorders>
              <w:top w:val="nil"/>
              <w:left w:val="nil"/>
              <w:bottom w:val="nil"/>
              <w:right w:val="nil"/>
            </w:tcBorders>
            <w:tcMar>
              <w:left w:w="115" w:type="dxa"/>
              <w:right w:w="115" w:type="dxa"/>
            </w:tcMar>
          </w:tcPr>
          <w:p w:rsidR="00B501D6" w:rsidRPr="00CB0C5E" w:rsidRDefault="00B501D6" w:rsidP="002535A7">
            <w:pPr>
              <w:pStyle w:val="MarginSubhead"/>
              <w:rPr>
                <w:rFonts w:cs="Arial"/>
                <w:noProof/>
                <w:szCs w:val="20"/>
              </w:rPr>
            </w:pPr>
            <w:r w:rsidRPr="00CB0C5E">
              <w:rPr>
                <w:rFonts w:cs="Arial"/>
                <w:noProof/>
                <w:szCs w:val="20"/>
              </w:rPr>
              <w:t>Delegates that los</w:t>
            </w:r>
            <w:r w:rsidR="007330AF" w:rsidRPr="00CB0C5E">
              <w:rPr>
                <w:rFonts w:cs="Arial"/>
                <w:noProof/>
                <w:szCs w:val="20"/>
              </w:rPr>
              <w:t>e accreditation or cer</w:t>
            </w:r>
            <w:r w:rsidRPr="00CB0C5E">
              <w:rPr>
                <w:rFonts w:cs="Arial"/>
                <w:noProof/>
                <w:szCs w:val="20"/>
              </w:rPr>
              <w:t xml:space="preserve">tification status </w:t>
            </w:r>
          </w:p>
        </w:tc>
        <w:tc>
          <w:tcPr>
            <w:tcW w:w="7290" w:type="dxa"/>
            <w:tcBorders>
              <w:top w:val="nil"/>
              <w:left w:val="nil"/>
              <w:bottom w:val="nil"/>
              <w:right w:val="nil"/>
            </w:tcBorders>
            <w:tcMar>
              <w:left w:w="115" w:type="dxa"/>
              <w:right w:w="115" w:type="dxa"/>
            </w:tcMar>
          </w:tcPr>
          <w:p w:rsidR="00B501D6" w:rsidRPr="00CB0C5E" w:rsidRDefault="00B501D6" w:rsidP="00084851">
            <w:pPr>
              <w:pStyle w:val="Body"/>
            </w:pPr>
            <w:r w:rsidRPr="00CB0C5E">
              <w:rPr>
                <w:noProof/>
              </w:rPr>
              <w:t>When an organization continues to delegate functions after the delegate loses NCQA Accreditation or Certification status, it is no longer eligible to receive delegation oversight relief and must meet requirements in the delegation standard for the appropriate category or categories.</w:t>
            </w:r>
          </w:p>
        </w:tc>
      </w:tr>
      <w:tr w:rsidR="00D22D81" w:rsidRPr="00CB0C5E" w:rsidTr="00084851">
        <w:tc>
          <w:tcPr>
            <w:tcW w:w="2160" w:type="dxa"/>
            <w:tcBorders>
              <w:top w:val="nil"/>
              <w:left w:val="nil"/>
              <w:bottom w:val="nil"/>
              <w:right w:val="nil"/>
            </w:tcBorders>
            <w:tcMar>
              <w:left w:w="115" w:type="dxa"/>
              <w:right w:w="115" w:type="dxa"/>
            </w:tcMar>
          </w:tcPr>
          <w:p w:rsidR="00D22D81" w:rsidRPr="00CB0C5E" w:rsidRDefault="00D22D81" w:rsidP="00ED6A75">
            <w:pPr>
              <w:pStyle w:val="MarginSubhead"/>
            </w:pPr>
            <w:r w:rsidRPr="00CB0C5E">
              <w:t>File-review elements</w:t>
            </w:r>
          </w:p>
        </w:tc>
        <w:tc>
          <w:tcPr>
            <w:tcW w:w="7290" w:type="dxa"/>
            <w:tcBorders>
              <w:top w:val="nil"/>
              <w:left w:val="nil"/>
              <w:bottom w:val="nil"/>
              <w:right w:val="nil"/>
            </w:tcBorders>
            <w:tcMar>
              <w:left w:w="115" w:type="dxa"/>
              <w:right w:w="115" w:type="dxa"/>
            </w:tcMar>
          </w:tcPr>
          <w:p w:rsidR="00D22D81" w:rsidRPr="00CB0C5E" w:rsidRDefault="00D22D81" w:rsidP="00ED6A75">
            <w:pPr>
              <w:pStyle w:val="Body"/>
              <w:rPr>
                <w:i/>
              </w:rPr>
            </w:pPr>
          </w:p>
        </w:tc>
      </w:tr>
      <w:tr w:rsidR="009C6D4D" w:rsidRPr="00CB0C5E" w:rsidTr="00084851">
        <w:tc>
          <w:tcPr>
            <w:tcW w:w="2160" w:type="dxa"/>
            <w:tcBorders>
              <w:top w:val="nil"/>
              <w:left w:val="nil"/>
              <w:bottom w:val="nil"/>
              <w:right w:val="nil"/>
            </w:tcBorders>
            <w:tcMar>
              <w:left w:w="115" w:type="dxa"/>
              <w:right w:w="115" w:type="dxa"/>
            </w:tcMar>
          </w:tcPr>
          <w:p w:rsidR="009C6D4D" w:rsidRPr="00CB0C5E" w:rsidRDefault="009C6D4D" w:rsidP="004B158B">
            <w:pPr>
              <w:pStyle w:val="MarginSubhead"/>
              <w:spacing w:before="120"/>
              <w:jc w:val="right"/>
              <w:rPr>
                <w:i/>
              </w:rPr>
            </w:pPr>
            <w:r w:rsidRPr="00CB0C5E">
              <w:rPr>
                <w:i/>
              </w:rPr>
              <w:t>Case management files (QI)</w:t>
            </w:r>
          </w:p>
        </w:tc>
        <w:tc>
          <w:tcPr>
            <w:tcW w:w="7290" w:type="dxa"/>
            <w:tcBorders>
              <w:top w:val="nil"/>
              <w:left w:val="nil"/>
              <w:bottom w:val="nil"/>
              <w:right w:val="nil"/>
            </w:tcBorders>
            <w:tcMar>
              <w:left w:w="115" w:type="dxa"/>
              <w:right w:w="115" w:type="dxa"/>
            </w:tcMar>
          </w:tcPr>
          <w:p w:rsidR="009C6D4D" w:rsidRPr="00CB0C5E" w:rsidRDefault="009C6D4D" w:rsidP="004B158B">
            <w:pPr>
              <w:pStyle w:val="Body"/>
              <w:spacing w:before="120"/>
            </w:pPr>
            <w:r w:rsidRPr="00CB0C5E">
              <w:t>NCQA scores all delegated file-review elements as present if the organization delegates to NCQA Accredited health plans. NCQA does not review the delegate</w:t>
            </w:r>
            <w:r w:rsidR="007E6C70">
              <w:t>’</w:t>
            </w:r>
            <w:r w:rsidRPr="00CB0C5E">
              <w:t xml:space="preserve">s files during the survey. </w:t>
            </w:r>
          </w:p>
          <w:p w:rsidR="009C6D4D" w:rsidRPr="00CB0C5E" w:rsidRDefault="009C6D4D" w:rsidP="009C6D4D">
            <w:pPr>
              <w:pStyle w:val="Body"/>
            </w:pPr>
            <w:r w:rsidRPr="00CB0C5E">
              <w:t>The following CM file review elements ar</w:t>
            </w:r>
            <w:r w:rsidR="00D71F29" w:rsidRPr="00CB0C5E">
              <w:t>e eligible for automatic credit:</w:t>
            </w:r>
          </w:p>
          <w:p w:rsidR="009C6D4D" w:rsidRPr="00CB0C5E" w:rsidDel="00D22D81" w:rsidRDefault="009C6D4D" w:rsidP="00CB64EB">
            <w:pPr>
              <w:pStyle w:val="Bullet"/>
              <w:rPr>
                <w:i/>
              </w:rPr>
            </w:pPr>
            <w:r w:rsidRPr="00CB0C5E">
              <w:t xml:space="preserve">QI 7, </w:t>
            </w:r>
            <w:r w:rsidRPr="00F1725F">
              <w:t>Elements G</w:t>
            </w:r>
            <w:r w:rsidR="00CB64EB" w:rsidRPr="00F1725F">
              <w:t>, H</w:t>
            </w:r>
            <w:r w:rsidR="00D71F29" w:rsidRPr="00CB0C5E">
              <w:t>.</w:t>
            </w:r>
          </w:p>
        </w:tc>
      </w:tr>
    </w:tbl>
    <w:p w:rsidR="00011229" w:rsidRDefault="00011229">
      <w:pPr>
        <w:sectPr w:rsidR="00011229" w:rsidSect="00744802">
          <w:pgSz w:w="12240" w:h="15840" w:code="1"/>
          <w:pgMar w:top="1080" w:right="1440" w:bottom="1080" w:left="1440" w:header="720" w:footer="720" w:gutter="0"/>
          <w:cols w:space="720"/>
        </w:sectPr>
      </w:pPr>
    </w:p>
    <w:tbl>
      <w:tblPr>
        <w:tblW w:w="0" w:type="auto"/>
        <w:tblInd w:w="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80" w:type="dxa"/>
          <w:right w:w="180" w:type="dxa"/>
        </w:tblCellMar>
        <w:tblLook w:val="0000" w:firstRow="0" w:lastRow="0" w:firstColumn="0" w:lastColumn="0" w:noHBand="0" w:noVBand="0"/>
      </w:tblPr>
      <w:tblGrid>
        <w:gridCol w:w="1890"/>
        <w:gridCol w:w="3330"/>
        <w:gridCol w:w="4230"/>
      </w:tblGrid>
      <w:tr w:rsidR="0082539B" w:rsidRPr="00CB0C5E" w:rsidTr="00011229">
        <w:tc>
          <w:tcPr>
            <w:tcW w:w="1890" w:type="dxa"/>
            <w:vMerge w:val="restart"/>
            <w:tcBorders>
              <w:top w:val="nil"/>
              <w:left w:val="nil"/>
              <w:right w:val="nil"/>
            </w:tcBorders>
            <w:tcMar>
              <w:left w:w="115" w:type="dxa"/>
              <w:right w:w="115" w:type="dxa"/>
            </w:tcMar>
          </w:tcPr>
          <w:p w:rsidR="0082539B" w:rsidRPr="00CB0C5E" w:rsidRDefault="0082539B" w:rsidP="00011229">
            <w:pPr>
              <w:pStyle w:val="MarginSubhead"/>
              <w:spacing w:before="0"/>
              <w:jc w:val="right"/>
              <w:rPr>
                <w:i/>
              </w:rPr>
            </w:pPr>
            <w:r w:rsidRPr="00CB0C5E">
              <w:rPr>
                <w:i/>
              </w:rPr>
              <w:lastRenderedPageBreak/>
              <w:t>UM files</w:t>
            </w:r>
          </w:p>
        </w:tc>
        <w:tc>
          <w:tcPr>
            <w:tcW w:w="7560" w:type="dxa"/>
            <w:gridSpan w:val="2"/>
            <w:tcBorders>
              <w:top w:val="nil"/>
              <w:left w:val="nil"/>
              <w:bottom w:val="nil"/>
              <w:right w:val="nil"/>
            </w:tcBorders>
            <w:tcMar>
              <w:left w:w="115" w:type="dxa"/>
              <w:right w:w="115" w:type="dxa"/>
            </w:tcMar>
          </w:tcPr>
          <w:p w:rsidR="0082539B" w:rsidRPr="00CB0C5E" w:rsidRDefault="0082539B" w:rsidP="00011229">
            <w:pPr>
              <w:pStyle w:val="Body"/>
              <w:spacing w:before="0"/>
            </w:pPr>
            <w:r w:rsidRPr="00CB0C5E">
              <w:t xml:space="preserve">NCQA scores all delegated file-review elements as present if the organization delegates UM to an organization that is </w:t>
            </w:r>
            <w:r w:rsidR="00300AF0" w:rsidRPr="00CB0C5E">
              <w:t>NCQA Accredited or</w:t>
            </w:r>
            <w:r w:rsidRPr="00CB0C5E">
              <w:t xml:space="preserve"> NCQA Certified in UM. NCQA does not review the delegate</w:t>
            </w:r>
            <w:r w:rsidR="007E6C70">
              <w:t>’</w:t>
            </w:r>
            <w:r w:rsidRPr="00CB0C5E">
              <w:t>s files during the survey. The following UM file-review elements are eligible for automatic credit</w:t>
            </w:r>
            <w:r w:rsidR="00183FDE" w:rsidRPr="00CB0C5E">
              <w:t>:</w:t>
            </w:r>
          </w:p>
        </w:tc>
      </w:tr>
      <w:tr w:rsidR="0082539B" w:rsidRPr="00CB0C5E" w:rsidTr="00011229">
        <w:tc>
          <w:tcPr>
            <w:tcW w:w="1890" w:type="dxa"/>
            <w:vMerge/>
            <w:tcBorders>
              <w:left w:val="nil"/>
              <w:right w:val="nil"/>
            </w:tcBorders>
            <w:tcMar>
              <w:left w:w="115" w:type="dxa"/>
              <w:right w:w="115" w:type="dxa"/>
            </w:tcMar>
          </w:tcPr>
          <w:p w:rsidR="0082539B" w:rsidRPr="00CB0C5E" w:rsidRDefault="0082539B" w:rsidP="00C82CC6">
            <w:pPr>
              <w:pStyle w:val="MarginSubhead"/>
              <w:jc w:val="right"/>
              <w:rPr>
                <w:i/>
              </w:rPr>
            </w:pPr>
          </w:p>
        </w:tc>
        <w:tc>
          <w:tcPr>
            <w:tcW w:w="3330" w:type="dxa"/>
            <w:tcBorders>
              <w:top w:val="nil"/>
              <w:left w:val="nil"/>
              <w:bottom w:val="nil"/>
              <w:right w:val="nil"/>
            </w:tcBorders>
            <w:tcMar>
              <w:left w:w="115" w:type="dxa"/>
              <w:right w:w="115" w:type="dxa"/>
            </w:tcMar>
          </w:tcPr>
          <w:p w:rsidR="0082539B" w:rsidRPr="00CB0C5E" w:rsidRDefault="0082539B" w:rsidP="0082539B">
            <w:pPr>
              <w:pStyle w:val="Bullet"/>
              <w:spacing w:before="100"/>
            </w:pPr>
            <w:r w:rsidRPr="00CB0C5E">
              <w:t>UM 4, Elements C, D</w:t>
            </w:r>
            <w:r w:rsidR="00183FDE" w:rsidRPr="00CB0C5E">
              <w:t>.</w:t>
            </w:r>
          </w:p>
          <w:p w:rsidR="0082539B" w:rsidRPr="00CB0C5E" w:rsidRDefault="0082539B" w:rsidP="0082539B">
            <w:pPr>
              <w:pStyle w:val="Bullet"/>
              <w:spacing w:before="100"/>
            </w:pPr>
            <w:r w:rsidRPr="00CB0C5E">
              <w:t>UM 5, Elements A–D</w:t>
            </w:r>
            <w:r w:rsidR="00183FDE" w:rsidRPr="00CB0C5E">
              <w:t>.</w:t>
            </w:r>
          </w:p>
          <w:p w:rsidR="0082539B" w:rsidRPr="00CB0C5E" w:rsidRDefault="0082539B" w:rsidP="0082539B">
            <w:pPr>
              <w:pStyle w:val="Bullet"/>
              <w:spacing w:before="100"/>
            </w:pPr>
            <w:r w:rsidRPr="00CB0C5E">
              <w:t>UM 6, Elements C, D</w:t>
            </w:r>
            <w:r w:rsidR="00183FDE" w:rsidRPr="00CB0C5E">
              <w:t>.</w:t>
            </w:r>
          </w:p>
        </w:tc>
        <w:tc>
          <w:tcPr>
            <w:tcW w:w="4230" w:type="dxa"/>
            <w:tcBorders>
              <w:top w:val="nil"/>
              <w:left w:val="nil"/>
              <w:bottom w:val="nil"/>
              <w:right w:val="nil"/>
            </w:tcBorders>
          </w:tcPr>
          <w:p w:rsidR="0082539B" w:rsidRPr="00CB0C5E" w:rsidRDefault="0082539B" w:rsidP="0082539B">
            <w:pPr>
              <w:pStyle w:val="ProcessBullet"/>
              <w:spacing w:before="100"/>
            </w:pPr>
            <w:r w:rsidRPr="00CB0C5E">
              <w:t>UM 7, Elements B–G</w:t>
            </w:r>
            <w:r w:rsidR="00183FDE" w:rsidRPr="00CB0C5E">
              <w:t>.</w:t>
            </w:r>
          </w:p>
          <w:p w:rsidR="0082539B" w:rsidRPr="00CB0C5E" w:rsidRDefault="0082539B" w:rsidP="0082539B">
            <w:pPr>
              <w:pStyle w:val="ProcessBullet"/>
              <w:spacing w:before="100"/>
            </w:pPr>
            <w:r w:rsidRPr="00CB0C5E">
              <w:t>UM 9, Elements A–E</w:t>
            </w:r>
            <w:r w:rsidR="00183FDE" w:rsidRPr="00CB0C5E">
              <w:t>.</w:t>
            </w:r>
          </w:p>
          <w:p w:rsidR="0082539B" w:rsidRPr="00CB0C5E" w:rsidRDefault="0082539B" w:rsidP="0082539B">
            <w:pPr>
              <w:pStyle w:val="ProcessBullet"/>
              <w:spacing w:before="100"/>
            </w:pPr>
            <w:r w:rsidRPr="00CB0C5E">
              <w:t>UM 12, Elements B, C</w:t>
            </w:r>
            <w:r w:rsidR="00183FDE" w:rsidRPr="00CB0C5E">
              <w:t>.</w:t>
            </w:r>
          </w:p>
        </w:tc>
      </w:tr>
      <w:tr w:rsidR="0082539B" w:rsidRPr="00CB0C5E" w:rsidTr="00011229">
        <w:tc>
          <w:tcPr>
            <w:tcW w:w="1890" w:type="dxa"/>
            <w:vMerge/>
            <w:tcBorders>
              <w:left w:val="nil"/>
              <w:bottom w:val="nil"/>
              <w:right w:val="nil"/>
            </w:tcBorders>
            <w:tcMar>
              <w:left w:w="115" w:type="dxa"/>
              <w:right w:w="115" w:type="dxa"/>
            </w:tcMar>
          </w:tcPr>
          <w:p w:rsidR="0082539B" w:rsidRPr="00CB0C5E" w:rsidRDefault="0082539B" w:rsidP="00C82CC6">
            <w:pPr>
              <w:pStyle w:val="MarginSubhead"/>
              <w:jc w:val="right"/>
              <w:rPr>
                <w:i/>
              </w:rPr>
            </w:pPr>
          </w:p>
        </w:tc>
        <w:tc>
          <w:tcPr>
            <w:tcW w:w="7560" w:type="dxa"/>
            <w:gridSpan w:val="2"/>
            <w:tcBorders>
              <w:top w:val="nil"/>
              <w:left w:val="nil"/>
              <w:bottom w:val="nil"/>
              <w:right w:val="nil"/>
            </w:tcBorders>
            <w:tcMar>
              <w:left w:w="115" w:type="dxa"/>
              <w:right w:w="115" w:type="dxa"/>
            </w:tcMar>
          </w:tcPr>
          <w:p w:rsidR="0082539B" w:rsidRPr="00CB0C5E" w:rsidRDefault="00031E3B" w:rsidP="00031E3B">
            <w:pPr>
              <w:pStyle w:val="Body"/>
            </w:pPr>
            <w:r>
              <w:t xml:space="preserve">The </w:t>
            </w:r>
            <w:r w:rsidR="0082539B" w:rsidRPr="00CB0C5E">
              <w:t xml:space="preserve">HP </w:t>
            </w:r>
            <w:r>
              <w:t xml:space="preserve">Accreditation </w:t>
            </w:r>
            <w:r w:rsidR="0082539B" w:rsidRPr="00CB0C5E">
              <w:t xml:space="preserve">program </w:t>
            </w:r>
            <w:r>
              <w:t xml:space="preserve">has </w:t>
            </w:r>
            <w:r w:rsidR="0082539B" w:rsidRPr="00CB0C5E">
              <w:t xml:space="preserve">separate medical and behavioral UM file-review elements; therefore, other accreditation and certification programs have fewer UM file-review elements within the UM standards. </w:t>
            </w:r>
          </w:p>
        </w:tc>
      </w:tr>
      <w:tr w:rsidR="00A02A1A" w:rsidRPr="00CB0C5E" w:rsidTr="00655304">
        <w:tc>
          <w:tcPr>
            <w:tcW w:w="1890" w:type="dxa"/>
            <w:vMerge w:val="restart"/>
            <w:tcBorders>
              <w:top w:val="nil"/>
              <w:left w:val="nil"/>
              <w:right w:val="nil"/>
            </w:tcBorders>
            <w:tcMar>
              <w:left w:w="115" w:type="dxa"/>
              <w:right w:w="115" w:type="dxa"/>
            </w:tcMar>
          </w:tcPr>
          <w:p w:rsidR="00A02A1A" w:rsidRPr="00CB0C5E" w:rsidRDefault="00A02A1A" w:rsidP="00655304">
            <w:pPr>
              <w:pStyle w:val="MarginSubhead"/>
              <w:jc w:val="right"/>
              <w:rPr>
                <w:i/>
              </w:rPr>
            </w:pPr>
            <w:r w:rsidRPr="00CB0C5E">
              <w:rPr>
                <w:i/>
              </w:rPr>
              <w:t>CR files</w:t>
            </w:r>
          </w:p>
        </w:tc>
        <w:tc>
          <w:tcPr>
            <w:tcW w:w="7560" w:type="dxa"/>
            <w:gridSpan w:val="2"/>
            <w:tcBorders>
              <w:top w:val="nil"/>
              <w:left w:val="nil"/>
              <w:bottom w:val="nil"/>
              <w:right w:val="nil"/>
            </w:tcBorders>
            <w:tcMar>
              <w:left w:w="115" w:type="dxa"/>
              <w:right w:w="115" w:type="dxa"/>
            </w:tcMar>
          </w:tcPr>
          <w:p w:rsidR="00A02A1A" w:rsidRPr="00CB0C5E" w:rsidRDefault="00A02A1A" w:rsidP="00655304">
            <w:pPr>
              <w:pStyle w:val="Body"/>
            </w:pPr>
            <w:r w:rsidRPr="00CB0C5E">
              <w:t xml:space="preserve">NCQA scores all delegated file-review elements as present if the organization delegates both primary-source verification and decision making to an organization that is </w:t>
            </w:r>
            <w:r w:rsidR="00300AF0" w:rsidRPr="00CB0C5E">
              <w:t>NCQA Accredited or</w:t>
            </w:r>
            <w:r w:rsidRPr="00CB0C5E">
              <w:t xml:space="preserve"> NCQA Certified in CR. NCQA does not review the delegate</w:t>
            </w:r>
            <w:r w:rsidR="007E6C70">
              <w:t>’</w:t>
            </w:r>
            <w:r w:rsidRPr="00CB0C5E">
              <w:t xml:space="preserve">s files during the survey. </w:t>
            </w:r>
          </w:p>
          <w:p w:rsidR="00A02A1A" w:rsidRPr="00CB0C5E" w:rsidDel="00D22D81" w:rsidRDefault="00B25E51" w:rsidP="007330AF">
            <w:pPr>
              <w:pStyle w:val="Body"/>
            </w:pPr>
            <w:r>
              <w:t>NCQA reviews the organization</w:t>
            </w:r>
            <w:r w:rsidR="007E6C70">
              <w:t>’</w:t>
            </w:r>
            <w:r>
              <w:t>s files to determine whether time-sensitive elements meet the time limits if the organization does not delegate CR decision making, or if the organization delegates to a CVO that is NCQA Certified. The following CR file review elements are eligible for automatic credit:</w:t>
            </w:r>
          </w:p>
        </w:tc>
      </w:tr>
      <w:tr w:rsidR="00A02A1A" w:rsidRPr="00CB0C5E" w:rsidTr="006103E5">
        <w:tc>
          <w:tcPr>
            <w:tcW w:w="1890" w:type="dxa"/>
            <w:vMerge/>
            <w:tcBorders>
              <w:left w:val="nil"/>
              <w:bottom w:val="nil"/>
              <w:right w:val="nil"/>
            </w:tcBorders>
            <w:tcMar>
              <w:left w:w="115" w:type="dxa"/>
              <w:right w:w="115" w:type="dxa"/>
            </w:tcMar>
          </w:tcPr>
          <w:p w:rsidR="00A02A1A" w:rsidRPr="00CB0C5E" w:rsidRDefault="00A02A1A" w:rsidP="00C82CC6">
            <w:pPr>
              <w:pStyle w:val="MarginSubhead"/>
              <w:spacing w:before="0"/>
              <w:jc w:val="right"/>
              <w:rPr>
                <w:i/>
              </w:rPr>
            </w:pPr>
          </w:p>
        </w:tc>
        <w:tc>
          <w:tcPr>
            <w:tcW w:w="3330" w:type="dxa"/>
            <w:tcBorders>
              <w:top w:val="nil"/>
              <w:left w:val="nil"/>
              <w:bottom w:val="nil"/>
              <w:right w:val="nil"/>
            </w:tcBorders>
            <w:tcMar>
              <w:left w:w="115" w:type="dxa"/>
              <w:right w:w="115" w:type="dxa"/>
            </w:tcMar>
          </w:tcPr>
          <w:p w:rsidR="00A02A1A" w:rsidRPr="00CB0C5E" w:rsidRDefault="00A02A1A" w:rsidP="004B158B">
            <w:pPr>
              <w:pStyle w:val="Bullet"/>
              <w:spacing w:before="100"/>
            </w:pPr>
            <w:r w:rsidRPr="00CB0C5E">
              <w:t>CR 3, Elements A</w:t>
            </w:r>
            <w:r w:rsidR="004B158B">
              <w:t>–</w:t>
            </w:r>
            <w:r w:rsidR="008569B4" w:rsidRPr="00CB0C5E">
              <w:t>C</w:t>
            </w:r>
            <w:r w:rsidR="00183FDE" w:rsidRPr="00CB0C5E">
              <w:t>.</w:t>
            </w:r>
          </w:p>
        </w:tc>
        <w:tc>
          <w:tcPr>
            <w:tcW w:w="4230" w:type="dxa"/>
            <w:tcBorders>
              <w:top w:val="nil"/>
              <w:left w:val="nil"/>
              <w:bottom w:val="nil"/>
              <w:right w:val="nil"/>
            </w:tcBorders>
          </w:tcPr>
          <w:p w:rsidR="00A02A1A" w:rsidRPr="00CB0C5E" w:rsidRDefault="00A02A1A" w:rsidP="00183CE4">
            <w:pPr>
              <w:pStyle w:val="ProcessBullet"/>
              <w:spacing w:before="100"/>
            </w:pPr>
            <w:r w:rsidRPr="00CB0C5E">
              <w:t xml:space="preserve">CR </w:t>
            </w:r>
            <w:r w:rsidR="00183CE4" w:rsidRPr="00CB0C5E">
              <w:t>4</w:t>
            </w:r>
            <w:r w:rsidRPr="00CB0C5E">
              <w:t>, Element A</w:t>
            </w:r>
            <w:r w:rsidR="00183FDE" w:rsidRPr="00CB0C5E">
              <w:t>.</w:t>
            </w:r>
          </w:p>
        </w:tc>
      </w:tr>
      <w:tr w:rsidR="006103E5" w:rsidRPr="00CB0C5E" w:rsidDel="00AC6E36" w:rsidTr="006103E5">
        <w:trPr>
          <w:trHeight w:val="4941"/>
        </w:trPr>
        <w:tc>
          <w:tcPr>
            <w:tcW w:w="1890" w:type="dxa"/>
            <w:tcBorders>
              <w:top w:val="nil"/>
              <w:left w:val="nil"/>
              <w:bottom w:val="nil"/>
              <w:right w:val="nil"/>
            </w:tcBorders>
            <w:tcMar>
              <w:left w:w="115" w:type="dxa"/>
              <w:right w:w="115" w:type="dxa"/>
            </w:tcMar>
          </w:tcPr>
          <w:p w:rsidR="006103E5" w:rsidRPr="00CB0C5E" w:rsidDel="00AC6E36" w:rsidRDefault="006103E5" w:rsidP="007E6C70">
            <w:pPr>
              <w:pStyle w:val="MarginSubhead"/>
            </w:pPr>
            <w:r w:rsidRPr="00CB0C5E">
              <w:t>Variation or exclusion</w:t>
            </w:r>
          </w:p>
        </w:tc>
        <w:tc>
          <w:tcPr>
            <w:tcW w:w="7560" w:type="dxa"/>
            <w:gridSpan w:val="2"/>
            <w:tcBorders>
              <w:top w:val="nil"/>
              <w:left w:val="nil"/>
              <w:bottom w:val="nil"/>
              <w:right w:val="nil"/>
            </w:tcBorders>
            <w:tcMar>
              <w:left w:w="115" w:type="dxa"/>
              <w:right w:w="115" w:type="dxa"/>
            </w:tcMar>
          </w:tcPr>
          <w:p w:rsidR="006103E5" w:rsidRPr="00CB0C5E" w:rsidDel="00AC6E36" w:rsidRDefault="006103E5" w:rsidP="007E6C70">
            <w:pPr>
              <w:pStyle w:val="Body"/>
            </w:pPr>
            <w:r w:rsidRPr="00CB0C5E">
              <w:t>NCQA does not grant automatic credit for delegated activities that vary significantly or are excluded from the delegate</w:t>
            </w:r>
            <w:r>
              <w:t>’</w:t>
            </w:r>
            <w:r w:rsidRPr="00CB0C5E">
              <w:t>s accreditation or certification requirements. Oversight relief is not available when an HP delegates certain UM standards and elements to an organization with NCQA Certification in UM:</w:t>
            </w:r>
          </w:p>
          <w:p w:rsidR="006103E5" w:rsidRPr="00CB0C5E" w:rsidRDefault="006103E5" w:rsidP="0082539B">
            <w:pPr>
              <w:pStyle w:val="Bullet"/>
              <w:spacing w:before="100"/>
            </w:pPr>
            <w:r w:rsidRPr="00CB0C5E">
              <w:t>UM 8</w:t>
            </w:r>
            <w:r>
              <w:t xml:space="preserve"> (structural standard).</w:t>
            </w:r>
          </w:p>
          <w:p w:rsidR="006103E5" w:rsidRDefault="006103E5" w:rsidP="00655304">
            <w:pPr>
              <w:pStyle w:val="Body"/>
            </w:pPr>
            <w:r>
              <w:t>The following standards and elements are not included in UM certification:</w:t>
            </w:r>
          </w:p>
          <w:p w:rsidR="006103E5" w:rsidRDefault="006103E5" w:rsidP="00655304">
            <w:pPr>
              <w:pStyle w:val="Bullet"/>
            </w:pPr>
            <w:r w:rsidRPr="00CB0C5E">
              <w:t>UM 9, Elements E, F</w:t>
            </w:r>
            <w:r>
              <w:t>.</w:t>
            </w:r>
          </w:p>
          <w:p w:rsidR="006103E5" w:rsidRDefault="006103E5" w:rsidP="00655304">
            <w:pPr>
              <w:pStyle w:val="Bullet"/>
            </w:pPr>
            <w:r>
              <w:t>UM 12.</w:t>
            </w:r>
          </w:p>
          <w:p w:rsidR="006103E5" w:rsidRPr="00CB0C5E" w:rsidDel="00AC6E36" w:rsidRDefault="006103E5" w:rsidP="00655304">
            <w:pPr>
              <w:pStyle w:val="Bullet"/>
            </w:pPr>
            <w:r>
              <w:t>UM 13.</w:t>
            </w:r>
          </w:p>
          <w:p w:rsidR="006103E5" w:rsidRPr="00CB0C5E" w:rsidRDefault="006103E5" w:rsidP="00C82CC6">
            <w:pPr>
              <w:pStyle w:val="Body"/>
            </w:pPr>
            <w:r w:rsidRPr="00CB0C5E">
              <w:t>Oversight relief is not available when an HP delegates certain standards and elements to an organization with NCQA Certification in CR:</w:t>
            </w:r>
          </w:p>
          <w:p w:rsidR="006103E5" w:rsidRDefault="006103E5" w:rsidP="00034555">
            <w:pPr>
              <w:pStyle w:val="Bullet"/>
              <w:spacing w:before="100"/>
            </w:pPr>
            <w:r w:rsidRPr="00CB0C5E">
              <w:t>CR 5</w:t>
            </w:r>
            <w:r>
              <w:t xml:space="preserve"> (not included in CR certification).</w:t>
            </w:r>
          </w:p>
          <w:p w:rsidR="006103E5" w:rsidRPr="00CB0C5E" w:rsidRDefault="006103E5" w:rsidP="00034555">
            <w:pPr>
              <w:pStyle w:val="Bullet"/>
              <w:spacing w:before="100"/>
            </w:pPr>
            <w:r w:rsidRPr="00CB0C5E">
              <w:t>CR 7</w:t>
            </w:r>
            <w:r>
              <w:t xml:space="preserve"> (structural standard).</w:t>
            </w:r>
          </w:p>
          <w:p w:rsidR="006103E5" w:rsidRPr="00CB0C5E" w:rsidDel="00AC6E36" w:rsidRDefault="006103E5" w:rsidP="00393934">
            <w:pPr>
              <w:pStyle w:val="Body"/>
            </w:pPr>
            <w:r w:rsidRPr="00CB0C5E">
              <w:t>The organization is responsible for determining if delegated activities are</w:t>
            </w:r>
            <w:r>
              <w:t xml:space="preserve"> </w:t>
            </w:r>
            <w:r w:rsidRPr="00CB0C5E">
              <w:t>covered in the scope of the delegate</w:t>
            </w:r>
            <w:r>
              <w:t>’</w:t>
            </w:r>
            <w:r w:rsidRPr="00CB0C5E">
              <w:t xml:space="preserve">s NCQA review.  </w:t>
            </w:r>
          </w:p>
        </w:tc>
      </w:tr>
    </w:tbl>
    <w:p w:rsidR="00443075" w:rsidRPr="00CB0C5E" w:rsidDel="00AC6E36" w:rsidRDefault="00BA09EB" w:rsidP="0082539B">
      <w:pPr>
        <w:pStyle w:val="SubHead"/>
        <w:spacing w:before="180"/>
        <w:rPr>
          <w:i/>
        </w:rPr>
      </w:pPr>
      <w:r w:rsidRPr="00CB0C5E">
        <w:rPr>
          <w:i/>
        </w:rPr>
        <w:t>Note</w:t>
      </w:r>
    </w:p>
    <w:p w:rsidR="00183CE4" w:rsidRPr="001843CE" w:rsidRDefault="00183CE4" w:rsidP="00183CE4">
      <w:pPr>
        <w:pStyle w:val="ProcessBullet"/>
        <w:rPr>
          <w:i/>
        </w:rPr>
      </w:pPr>
      <w:r w:rsidRPr="001843CE">
        <w:rPr>
          <w:i/>
        </w:rPr>
        <w:t xml:space="preserve">Refer to </w:t>
      </w:r>
      <w:r w:rsidRPr="00084851">
        <w:rPr>
          <w:i/>
          <w:u w:val="single"/>
        </w:rPr>
        <w:t xml:space="preserve">Appendix </w:t>
      </w:r>
      <w:r w:rsidR="00CF5627" w:rsidRPr="00084851">
        <w:rPr>
          <w:i/>
          <w:u w:val="single"/>
        </w:rPr>
        <w:t>6</w:t>
      </w:r>
      <w:r w:rsidRPr="00084851">
        <w:rPr>
          <w:i/>
          <w:u w:val="single"/>
        </w:rPr>
        <w:t>: Automatic C</w:t>
      </w:r>
      <w:r w:rsidR="004B158B" w:rsidRPr="00084851">
        <w:rPr>
          <w:i/>
          <w:u w:val="single"/>
        </w:rPr>
        <w:t>redit for Delegating to an NCQA-</w:t>
      </w:r>
      <w:r w:rsidRPr="00084851">
        <w:rPr>
          <w:i/>
          <w:u w:val="single"/>
        </w:rPr>
        <w:t>Accredited HP</w:t>
      </w:r>
      <w:r w:rsidRPr="001843CE">
        <w:rPr>
          <w:i/>
        </w:rPr>
        <w:t xml:space="preserve"> for additional information on HP automatic credit.</w:t>
      </w:r>
    </w:p>
    <w:p w:rsidR="00443075" w:rsidRPr="001843CE" w:rsidRDefault="00443075" w:rsidP="00BA09EB">
      <w:pPr>
        <w:pStyle w:val="ProcessBullet"/>
        <w:rPr>
          <w:i/>
        </w:rPr>
      </w:pPr>
      <w:r w:rsidRPr="001843CE">
        <w:rPr>
          <w:i/>
        </w:rPr>
        <w:t xml:space="preserve">Refer to </w:t>
      </w:r>
      <w:r w:rsidRPr="00084851">
        <w:rPr>
          <w:i/>
          <w:u w:val="single"/>
        </w:rPr>
        <w:t xml:space="preserve">Appendix </w:t>
      </w:r>
      <w:r w:rsidR="00CF5627" w:rsidRPr="00084851">
        <w:rPr>
          <w:i/>
          <w:u w:val="single"/>
        </w:rPr>
        <w:t>7</w:t>
      </w:r>
      <w:r w:rsidRPr="00084851">
        <w:rPr>
          <w:i/>
          <w:u w:val="single"/>
        </w:rPr>
        <w:t xml:space="preserve">: Automatic Credit for Delegating to an </w:t>
      </w:r>
      <w:r w:rsidR="004B158B" w:rsidRPr="00084851">
        <w:rPr>
          <w:i/>
          <w:u w:val="single"/>
        </w:rPr>
        <w:t>NCQA-</w:t>
      </w:r>
      <w:r w:rsidR="00083605" w:rsidRPr="00084851">
        <w:rPr>
          <w:i/>
          <w:u w:val="single"/>
        </w:rPr>
        <w:t>Accredited</w:t>
      </w:r>
      <w:r w:rsidRPr="00084851">
        <w:rPr>
          <w:i/>
          <w:u w:val="single"/>
        </w:rPr>
        <w:t xml:space="preserve"> MBHO</w:t>
      </w:r>
      <w:r w:rsidRPr="001843CE">
        <w:rPr>
          <w:i/>
        </w:rPr>
        <w:t xml:space="preserve"> for additional information on MBHO automatic credit.</w:t>
      </w:r>
    </w:p>
    <w:p w:rsidR="00072C80" w:rsidRDefault="00443075" w:rsidP="00A02A1A">
      <w:pPr>
        <w:pStyle w:val="ProcessBullet"/>
        <w:spacing w:before="100"/>
        <w:rPr>
          <w:i/>
        </w:rPr>
        <w:sectPr w:rsidR="00072C80" w:rsidSect="00031E3B">
          <w:pgSz w:w="12240" w:h="15840" w:code="1"/>
          <w:pgMar w:top="1080" w:right="1440" w:bottom="1080" w:left="1440" w:header="720" w:footer="720" w:gutter="0"/>
          <w:cols w:space="720"/>
          <w:docGrid w:linePitch="360"/>
        </w:sectPr>
      </w:pPr>
      <w:r w:rsidRPr="001843CE">
        <w:rPr>
          <w:i/>
        </w:rPr>
        <w:t xml:space="preserve">Refer </w:t>
      </w:r>
      <w:r w:rsidR="00B763E0" w:rsidRPr="001843CE">
        <w:rPr>
          <w:i/>
        </w:rPr>
        <w:t xml:space="preserve">to </w:t>
      </w:r>
      <w:r w:rsidR="00B763E0" w:rsidRPr="00084851">
        <w:rPr>
          <w:i/>
          <w:u w:val="single"/>
        </w:rPr>
        <w:t xml:space="preserve">Appendix </w:t>
      </w:r>
      <w:r w:rsidR="00CF5627" w:rsidRPr="00084851">
        <w:rPr>
          <w:i/>
          <w:u w:val="single"/>
        </w:rPr>
        <w:t>8</w:t>
      </w:r>
      <w:r w:rsidR="00B763E0" w:rsidRPr="00084851">
        <w:rPr>
          <w:i/>
          <w:u w:val="single"/>
        </w:rPr>
        <w:t xml:space="preserve">: Automatic Credit for Delegating to an </w:t>
      </w:r>
      <w:r w:rsidR="004B158B" w:rsidRPr="00084851">
        <w:rPr>
          <w:i/>
          <w:u w:val="single"/>
        </w:rPr>
        <w:t>NCQA-</w:t>
      </w:r>
      <w:r w:rsidR="00300AF0" w:rsidRPr="00084851">
        <w:rPr>
          <w:i/>
          <w:u w:val="single"/>
        </w:rPr>
        <w:t>Accredited or</w:t>
      </w:r>
      <w:r w:rsidR="00B763E0" w:rsidRPr="00084851">
        <w:rPr>
          <w:i/>
          <w:u w:val="single"/>
        </w:rPr>
        <w:t xml:space="preserve"> </w:t>
      </w:r>
      <w:r w:rsidR="004B158B" w:rsidRPr="00084851">
        <w:rPr>
          <w:i/>
          <w:u w:val="single"/>
        </w:rPr>
        <w:t>NCQA-</w:t>
      </w:r>
      <w:r w:rsidR="00083605" w:rsidRPr="00084851">
        <w:rPr>
          <w:i/>
          <w:u w:val="single"/>
        </w:rPr>
        <w:t>Certified</w:t>
      </w:r>
      <w:r w:rsidR="00B763E0" w:rsidRPr="00084851">
        <w:rPr>
          <w:i/>
          <w:u w:val="single"/>
        </w:rPr>
        <w:br/>
        <w:t xml:space="preserve">DM </w:t>
      </w:r>
      <w:r w:rsidR="00783071" w:rsidRPr="00084851">
        <w:rPr>
          <w:i/>
          <w:u w:val="single"/>
        </w:rPr>
        <w:t>O</w:t>
      </w:r>
      <w:r w:rsidR="00B763E0" w:rsidRPr="00084851">
        <w:rPr>
          <w:i/>
          <w:u w:val="single"/>
        </w:rPr>
        <w:t>rganization</w:t>
      </w:r>
      <w:r w:rsidR="00DA7CA1" w:rsidRPr="001843CE">
        <w:rPr>
          <w:i/>
        </w:rPr>
        <w:t xml:space="preserve"> </w:t>
      </w:r>
      <w:r w:rsidRPr="001843CE">
        <w:rPr>
          <w:i/>
        </w:rPr>
        <w:t xml:space="preserve">for additional information on </w:t>
      </w:r>
      <w:r w:rsidR="00B763E0" w:rsidRPr="001843CE">
        <w:rPr>
          <w:i/>
        </w:rPr>
        <w:t xml:space="preserve">DM organization </w:t>
      </w:r>
      <w:r w:rsidRPr="001843CE">
        <w:rPr>
          <w:i/>
        </w:rPr>
        <w:t>automatic credit</w:t>
      </w:r>
      <w:r w:rsidR="00B763E0" w:rsidRPr="001843CE">
        <w:rPr>
          <w:i/>
        </w:rPr>
        <w:t>.</w:t>
      </w:r>
    </w:p>
    <w:p w:rsidR="00897938" w:rsidRPr="001843CE" w:rsidRDefault="00E778C8" w:rsidP="00072C80">
      <w:pPr>
        <w:pStyle w:val="ProcessBullet"/>
        <w:spacing w:before="0"/>
        <w:rPr>
          <w:i/>
        </w:rPr>
      </w:pPr>
      <w:r w:rsidRPr="001843CE">
        <w:rPr>
          <w:i/>
        </w:rPr>
        <w:lastRenderedPageBreak/>
        <w:t xml:space="preserve">Refer to </w:t>
      </w:r>
      <w:r w:rsidRPr="00084851">
        <w:rPr>
          <w:i/>
          <w:u w:val="single"/>
        </w:rPr>
        <w:t xml:space="preserve">Appendix </w:t>
      </w:r>
      <w:r w:rsidR="00CF5627" w:rsidRPr="00084851">
        <w:rPr>
          <w:i/>
          <w:u w:val="single"/>
        </w:rPr>
        <w:t>9</w:t>
      </w:r>
      <w:r w:rsidRPr="00084851">
        <w:rPr>
          <w:i/>
          <w:u w:val="single"/>
        </w:rPr>
        <w:t>: Automatic Credit for Delegating to an NCQA</w:t>
      </w:r>
      <w:r w:rsidR="004B158B" w:rsidRPr="00084851">
        <w:rPr>
          <w:i/>
          <w:u w:val="single"/>
        </w:rPr>
        <w:t>-</w:t>
      </w:r>
      <w:r w:rsidR="00415E01" w:rsidRPr="00084851">
        <w:rPr>
          <w:i/>
          <w:u w:val="single"/>
        </w:rPr>
        <w:t>Accredited or NCQA-</w:t>
      </w:r>
      <w:r w:rsidRPr="00084851">
        <w:rPr>
          <w:i/>
          <w:u w:val="single"/>
        </w:rPr>
        <w:t>Certified WHP Organization</w:t>
      </w:r>
      <w:r w:rsidRPr="001843CE">
        <w:rPr>
          <w:i/>
        </w:rPr>
        <w:t xml:space="preserve"> for additional information on WHP organization automatic credit</w:t>
      </w:r>
    </w:p>
    <w:p w:rsidR="00034555" w:rsidRPr="001843CE" w:rsidRDefault="00034555" w:rsidP="00034555">
      <w:pPr>
        <w:pStyle w:val="ProcessBullet"/>
        <w:spacing w:before="100"/>
        <w:rPr>
          <w:i/>
        </w:rPr>
      </w:pPr>
      <w:r w:rsidRPr="001843CE">
        <w:rPr>
          <w:i/>
        </w:rPr>
        <w:t xml:space="preserve">Refer to </w:t>
      </w:r>
      <w:r w:rsidRPr="00084851">
        <w:rPr>
          <w:i/>
          <w:u w:val="single"/>
        </w:rPr>
        <w:t>Appendix 10: Automatic Credit for Delegating to an NCQA-Accredited CM Organization</w:t>
      </w:r>
      <w:r w:rsidRPr="001843CE">
        <w:rPr>
          <w:i/>
        </w:rPr>
        <w:t xml:space="preserve"> for additional information on CM organization automatic credit.</w:t>
      </w:r>
    </w:p>
    <w:p w:rsidR="00034555" w:rsidRPr="001843CE" w:rsidRDefault="00034555" w:rsidP="00034555">
      <w:pPr>
        <w:pStyle w:val="ProcessBullet"/>
        <w:spacing w:before="100"/>
        <w:rPr>
          <w:i/>
        </w:rPr>
      </w:pPr>
      <w:r w:rsidRPr="001843CE">
        <w:rPr>
          <w:i/>
        </w:rPr>
        <w:t xml:space="preserve">Refer to </w:t>
      </w:r>
      <w:r w:rsidRPr="00084851">
        <w:rPr>
          <w:i/>
          <w:u w:val="single"/>
        </w:rPr>
        <w:t>Appendix 11: Automatic Credit for Delegating to an NCQA-Certified HIP Organization</w:t>
      </w:r>
      <w:r w:rsidRPr="001843CE">
        <w:rPr>
          <w:i/>
        </w:rPr>
        <w:t xml:space="preserve"> for additional information on HIP organization automatic credit.</w:t>
      </w:r>
    </w:p>
    <w:p w:rsidR="001843CE" w:rsidRPr="001843CE" w:rsidRDefault="001843CE" w:rsidP="001843CE">
      <w:pPr>
        <w:pStyle w:val="ProcessBullet"/>
        <w:spacing w:before="100"/>
        <w:rPr>
          <w:i/>
        </w:rPr>
      </w:pPr>
      <w:r w:rsidRPr="001843CE">
        <w:rPr>
          <w:i/>
        </w:rPr>
        <w:t xml:space="preserve">Refer to </w:t>
      </w:r>
      <w:r w:rsidRPr="00084851">
        <w:rPr>
          <w:i/>
          <w:u w:val="single"/>
        </w:rPr>
        <w:t>Appendix 12: Automatic Credit for Delegating to an NCQA-Certified UM-CR Organization</w:t>
      </w:r>
      <w:r w:rsidRPr="001843CE">
        <w:rPr>
          <w:i/>
        </w:rPr>
        <w:t xml:space="preserve"> for additional information on CM organization automatic credit.</w:t>
      </w:r>
    </w:p>
    <w:p w:rsidR="00034555" w:rsidRPr="001843CE" w:rsidRDefault="001843CE" w:rsidP="001843CE">
      <w:pPr>
        <w:pStyle w:val="ProcessBullet"/>
        <w:spacing w:before="100"/>
        <w:rPr>
          <w:i/>
        </w:rPr>
      </w:pPr>
      <w:r w:rsidRPr="001843CE">
        <w:rPr>
          <w:i/>
        </w:rPr>
        <w:t xml:space="preserve">Refer to </w:t>
      </w:r>
      <w:r w:rsidRPr="00084851">
        <w:rPr>
          <w:i/>
          <w:u w:val="single"/>
        </w:rPr>
        <w:t>Appendix 13: Automatic Credit for Delegating to an NCQA-Certified CVO</w:t>
      </w:r>
      <w:r w:rsidRPr="001843CE">
        <w:rPr>
          <w:i/>
        </w:rPr>
        <w:t xml:space="preserve"> for additional information on CM organization automatic credit.</w:t>
      </w:r>
    </w:p>
    <w:p w:rsidR="00ED6A75" w:rsidRPr="001843CE" w:rsidRDefault="00602DE8" w:rsidP="00A02A1A">
      <w:pPr>
        <w:pStyle w:val="ProcessBullet"/>
        <w:spacing w:before="100"/>
        <w:rPr>
          <w:i/>
        </w:rPr>
      </w:pPr>
      <w:r w:rsidRPr="001843CE">
        <w:rPr>
          <w:i/>
        </w:rPr>
        <w:t xml:space="preserve">Refer to </w:t>
      </w:r>
      <w:r w:rsidRPr="00084851">
        <w:rPr>
          <w:i/>
          <w:u w:val="single"/>
        </w:rPr>
        <w:t xml:space="preserve">Appendix </w:t>
      </w:r>
      <w:r w:rsidR="00031E3B" w:rsidRPr="00084851">
        <w:rPr>
          <w:i/>
          <w:u w:val="single"/>
        </w:rPr>
        <w:t>14</w:t>
      </w:r>
      <w:r w:rsidRPr="00084851">
        <w:rPr>
          <w:i/>
          <w:u w:val="single"/>
        </w:rPr>
        <w:t xml:space="preserve">: Automatic Credit for </w:t>
      </w:r>
      <w:r w:rsidR="00181FC6" w:rsidRPr="00084851">
        <w:rPr>
          <w:i/>
          <w:u w:val="single"/>
        </w:rPr>
        <w:t>Health Plans Contracting W</w:t>
      </w:r>
      <w:r w:rsidR="00FD3366" w:rsidRPr="00084851">
        <w:rPr>
          <w:i/>
          <w:u w:val="single"/>
        </w:rPr>
        <w:t>ith</w:t>
      </w:r>
      <w:r w:rsidRPr="00084851">
        <w:rPr>
          <w:i/>
          <w:u w:val="single"/>
        </w:rPr>
        <w:t xml:space="preserve"> Organization</w:t>
      </w:r>
      <w:r w:rsidR="00181FC6" w:rsidRPr="00084851">
        <w:rPr>
          <w:i/>
          <w:u w:val="single"/>
        </w:rPr>
        <w:t>s</w:t>
      </w:r>
      <w:r w:rsidRPr="00084851">
        <w:rPr>
          <w:i/>
          <w:u w:val="single"/>
        </w:rPr>
        <w:t xml:space="preserve"> </w:t>
      </w:r>
      <w:r w:rsidR="00181FC6" w:rsidRPr="00084851">
        <w:rPr>
          <w:i/>
          <w:u w:val="single"/>
        </w:rPr>
        <w:t>T</w:t>
      </w:r>
      <w:r w:rsidR="00FD3366" w:rsidRPr="00084851">
        <w:rPr>
          <w:i/>
          <w:u w:val="single"/>
        </w:rPr>
        <w:t xml:space="preserve">hat Receive Distinction </w:t>
      </w:r>
      <w:r w:rsidRPr="00084851">
        <w:rPr>
          <w:i/>
          <w:u w:val="single"/>
        </w:rPr>
        <w:t>in MHC</w:t>
      </w:r>
      <w:r w:rsidRPr="001843CE">
        <w:rPr>
          <w:i/>
        </w:rPr>
        <w:t xml:space="preserve"> for additional information on MHC organization automatic credit</w:t>
      </w:r>
      <w:r w:rsidR="00ED6A75" w:rsidRPr="001843CE">
        <w:rPr>
          <w:i/>
        </w:rPr>
        <w:t>.</w:t>
      </w:r>
    </w:p>
    <w:p w:rsidR="001843CE" w:rsidRDefault="001843CE" w:rsidP="001843CE">
      <w:pPr>
        <w:pStyle w:val="ProcessBullet"/>
        <w:spacing w:before="100"/>
        <w:rPr>
          <w:i/>
        </w:rPr>
      </w:pPr>
      <w:r w:rsidRPr="001843CE">
        <w:rPr>
          <w:i/>
        </w:rPr>
        <w:t xml:space="preserve">Refer to </w:t>
      </w:r>
      <w:r w:rsidRPr="00084851">
        <w:rPr>
          <w:i/>
          <w:u w:val="single"/>
        </w:rPr>
        <w:t>Appendix 15: Automatic Credit for Health Plans Delegating to a Medical Home</w:t>
      </w:r>
      <w:r>
        <w:rPr>
          <w:i/>
        </w:rPr>
        <w:t xml:space="preserve"> for</w:t>
      </w:r>
      <w:r w:rsidRPr="001843CE">
        <w:rPr>
          <w:i/>
        </w:rPr>
        <w:t xml:space="preserve"> additional information on </w:t>
      </w:r>
      <w:r>
        <w:rPr>
          <w:i/>
        </w:rPr>
        <w:t>PCMH</w:t>
      </w:r>
      <w:r w:rsidRPr="001843CE">
        <w:rPr>
          <w:i/>
        </w:rPr>
        <w:t xml:space="preserve"> automatic credit.</w:t>
      </w:r>
    </w:p>
    <w:p w:rsidR="00B83101" w:rsidRPr="00CB0C5E" w:rsidRDefault="00B83101" w:rsidP="00072C80">
      <w:pPr>
        <w:pStyle w:val="StdHead"/>
      </w:pPr>
      <w:r w:rsidRPr="00CB0C5E">
        <w:t>Surveying, Scoring and Reporting Delegation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80" w:type="dxa"/>
          <w:right w:w="180" w:type="dxa"/>
        </w:tblCellMar>
        <w:tblLook w:val="0000" w:firstRow="0" w:lastRow="0" w:firstColumn="0" w:lastColumn="0" w:noHBand="0" w:noVBand="0"/>
      </w:tblPr>
      <w:tblGrid>
        <w:gridCol w:w="1915"/>
        <w:gridCol w:w="7625"/>
      </w:tblGrid>
      <w:tr w:rsidR="00B83101" w:rsidRPr="00CB0C5E" w:rsidTr="0041155F">
        <w:tc>
          <w:tcPr>
            <w:tcW w:w="1915" w:type="dxa"/>
            <w:tcBorders>
              <w:top w:val="nil"/>
              <w:left w:val="nil"/>
              <w:bottom w:val="nil"/>
              <w:right w:val="nil"/>
            </w:tcBorders>
            <w:tcMar>
              <w:left w:w="115" w:type="dxa"/>
              <w:right w:w="115" w:type="dxa"/>
            </w:tcMar>
          </w:tcPr>
          <w:p w:rsidR="00B83101" w:rsidRPr="00CB0C5E" w:rsidRDefault="00B83101" w:rsidP="00B83101">
            <w:pPr>
              <w:pStyle w:val="MarginSubhead"/>
            </w:pPr>
            <w:r w:rsidRPr="00CB0C5E">
              <w:t>Delegation oversight</w:t>
            </w:r>
            <w:r w:rsidR="00D35D81" w:rsidRPr="00CB0C5E">
              <w:t xml:space="preserve"> scoring</w:t>
            </w:r>
          </w:p>
        </w:tc>
        <w:tc>
          <w:tcPr>
            <w:tcW w:w="7625" w:type="dxa"/>
            <w:tcBorders>
              <w:top w:val="nil"/>
              <w:left w:val="nil"/>
              <w:bottom w:val="nil"/>
              <w:right w:val="nil"/>
            </w:tcBorders>
            <w:tcMar>
              <w:left w:w="115" w:type="dxa"/>
              <w:right w:w="115" w:type="dxa"/>
            </w:tcMar>
          </w:tcPr>
          <w:p w:rsidR="00915719" w:rsidRPr="00CB0C5E" w:rsidRDefault="00B83101" w:rsidP="00B83101">
            <w:pPr>
              <w:pStyle w:val="Body"/>
            </w:pPr>
            <w:r w:rsidRPr="00CB0C5E">
              <w:t>If the organization delegates functions to another organization for QI, UM, CR, RR or MEM, NCQA evaluates the organization</w:t>
            </w:r>
            <w:r w:rsidR="007E6C70">
              <w:t>’</w:t>
            </w:r>
            <w:r w:rsidRPr="00CB0C5E">
              <w:t xml:space="preserve">s oversight of the delegate under the delegation oversight standards (QI </w:t>
            </w:r>
            <w:r w:rsidR="00942A2A" w:rsidRPr="00CB0C5E">
              <w:t>12</w:t>
            </w:r>
            <w:r w:rsidRPr="00CB0C5E">
              <w:t xml:space="preserve">, UM 15, CR </w:t>
            </w:r>
            <w:r w:rsidR="00CF5627" w:rsidRPr="00CB0C5E">
              <w:t>9</w:t>
            </w:r>
            <w:r w:rsidRPr="00CB0C5E">
              <w:t xml:space="preserve">, RR 8, MEM 9). </w:t>
            </w:r>
          </w:p>
          <w:p w:rsidR="00B83101" w:rsidRPr="00CB0C5E" w:rsidRDefault="00FF2670" w:rsidP="00CB64EB">
            <w:pPr>
              <w:pStyle w:val="Body"/>
            </w:pPr>
            <w:r w:rsidRPr="00CB0C5E">
              <w:rPr>
                <w:i/>
                <w:iCs/>
              </w:rPr>
              <w:t>Appendix 1:</w:t>
            </w:r>
            <w:r w:rsidR="005624E4" w:rsidRPr="00CB0C5E">
              <w:rPr>
                <w:i/>
                <w:iCs/>
              </w:rPr>
              <w:t xml:space="preserve"> Points and Reporting Categories for 201</w:t>
            </w:r>
            <w:r w:rsidR="00CB64EB">
              <w:rPr>
                <w:i/>
                <w:iCs/>
              </w:rPr>
              <w:t>4</w:t>
            </w:r>
            <w:r w:rsidRPr="00CB0C5E">
              <w:rPr>
                <w:i/>
              </w:rPr>
              <w:t xml:space="preserve"> </w:t>
            </w:r>
            <w:r w:rsidRPr="00CB0C5E">
              <w:t xml:space="preserve">provides point values for all elements and standards for delegation and no delegation. </w:t>
            </w:r>
            <w:r w:rsidR="00783071" w:rsidRPr="00CB0C5E">
              <w:t>10</w:t>
            </w:r>
            <w:r w:rsidR="00B83101" w:rsidRPr="00CB0C5E">
              <w:t xml:space="preserve"> percent of the points for each standard in the category are allocated to the delegation oversight standard. </w:t>
            </w:r>
          </w:p>
        </w:tc>
      </w:tr>
      <w:tr w:rsidR="00FF2670" w:rsidRPr="00CB0C5E" w:rsidTr="003E2C99">
        <w:tc>
          <w:tcPr>
            <w:tcW w:w="1915" w:type="dxa"/>
            <w:tcBorders>
              <w:top w:val="nil"/>
              <w:left w:val="nil"/>
              <w:bottom w:val="nil"/>
              <w:right w:val="nil"/>
            </w:tcBorders>
            <w:tcMar>
              <w:left w:w="115" w:type="dxa"/>
              <w:right w:w="115" w:type="dxa"/>
            </w:tcMar>
          </w:tcPr>
          <w:p w:rsidR="00FF2670" w:rsidRPr="00CB0C5E" w:rsidRDefault="00D35D81" w:rsidP="002B6E21">
            <w:pPr>
              <w:pStyle w:val="MarginSubhead"/>
            </w:pPr>
            <w:r w:rsidRPr="00CB0C5E">
              <w:t>Selection of delegates</w:t>
            </w:r>
          </w:p>
        </w:tc>
        <w:tc>
          <w:tcPr>
            <w:tcW w:w="7625" w:type="dxa"/>
            <w:tcBorders>
              <w:top w:val="nil"/>
              <w:left w:val="nil"/>
              <w:bottom w:val="nil"/>
              <w:right w:val="nil"/>
            </w:tcBorders>
            <w:tcMar>
              <w:left w:w="115" w:type="dxa"/>
              <w:right w:w="115" w:type="dxa"/>
            </w:tcMar>
          </w:tcPr>
          <w:p w:rsidR="00F9146B" w:rsidRPr="00CB0C5E" w:rsidRDefault="00FF2670" w:rsidP="002B6E21">
            <w:pPr>
              <w:pStyle w:val="Body"/>
            </w:pPr>
            <w:r w:rsidRPr="00CB0C5E">
              <w:t xml:space="preserve">For each standard category, </w:t>
            </w:r>
            <w:r w:rsidR="00F9146B" w:rsidRPr="00CB0C5E">
              <w:t xml:space="preserve">if PPO </w:t>
            </w:r>
            <w:r w:rsidR="002E2A56" w:rsidRPr="00CB0C5E">
              <w:t>product lines and products</w:t>
            </w:r>
            <w:r w:rsidR="00F9146B" w:rsidRPr="00CB0C5E">
              <w:t xml:space="preserve"> have the same delegates as HMO or POS, NCQA selects and reviews a sample of four delegates for all </w:t>
            </w:r>
            <w:r w:rsidR="002E2A56" w:rsidRPr="00CB0C5E">
              <w:t>product lines and products</w:t>
            </w:r>
            <w:r w:rsidR="00F9146B" w:rsidRPr="00CB0C5E">
              <w:t xml:space="preserve">. For organizations with fewer than four delegates, NCQA reviews all delegates. </w:t>
            </w:r>
          </w:p>
          <w:p w:rsidR="00F9146B" w:rsidRPr="00CB0C5E" w:rsidRDefault="00F9146B" w:rsidP="002B6E21">
            <w:pPr>
              <w:pStyle w:val="Body"/>
            </w:pPr>
            <w:r w:rsidRPr="00CB0C5E">
              <w:t xml:space="preserve">If PPO </w:t>
            </w:r>
            <w:r w:rsidR="002E2A56" w:rsidRPr="00CB0C5E">
              <w:t>product lines and products</w:t>
            </w:r>
            <w:r w:rsidRPr="00CB0C5E">
              <w:t xml:space="preserve"> have different delegates from HMO or POS, NCQA requires the PPO to be scored separately using a separate Survey Tool. NCQA selects and reviews a sample of four PPO delegates and four HMO/POS delegates. For </w:t>
            </w:r>
            <w:r w:rsidR="002E2A56" w:rsidRPr="00CB0C5E">
              <w:t>product lines and products</w:t>
            </w:r>
            <w:r w:rsidRPr="00CB0C5E">
              <w:t xml:space="preserve"> with fewer than four delegates, NCQA reviews all delegates.</w:t>
            </w:r>
            <w:r w:rsidR="0055461B" w:rsidRPr="00CB0C5E">
              <w:t xml:space="preserve"> </w:t>
            </w:r>
          </w:p>
          <w:p w:rsidR="00196809" w:rsidRDefault="00196809" w:rsidP="00196809">
            <w:pPr>
              <w:pStyle w:val="Body"/>
            </w:pPr>
            <w:r>
              <w:t xml:space="preserve">The organization submits its list of delegates five weeks before submission of the completed Survey Tool. Approximately four weeks prior to submission of the completed Survey Tool, NCQA notifies the organization which delegates have been selected for review. </w:t>
            </w:r>
          </w:p>
          <w:p w:rsidR="007E6C70" w:rsidRPr="00CB0C5E" w:rsidRDefault="00196809" w:rsidP="00196809">
            <w:pPr>
              <w:pStyle w:val="Body"/>
            </w:pPr>
            <w:r>
              <w:t>NCQA evaluates delegation oversight during the off-site survey. The organization should select “NA” for each delegation element before submitting its completed Survey Tool and should attach documentation relating to delegation oversight.</w:t>
            </w:r>
          </w:p>
        </w:tc>
      </w:tr>
      <w:tr w:rsidR="00B83101" w:rsidRPr="00CB0C5E" w:rsidTr="003E2C99">
        <w:tc>
          <w:tcPr>
            <w:tcW w:w="1915" w:type="dxa"/>
            <w:tcBorders>
              <w:top w:val="nil"/>
              <w:left w:val="nil"/>
              <w:bottom w:val="nil"/>
              <w:right w:val="nil"/>
            </w:tcBorders>
            <w:tcMar>
              <w:left w:w="115" w:type="dxa"/>
              <w:right w:w="115" w:type="dxa"/>
            </w:tcMar>
          </w:tcPr>
          <w:p w:rsidR="00B83101" w:rsidRPr="00CB0C5E" w:rsidRDefault="00B83101" w:rsidP="00B83101">
            <w:pPr>
              <w:pStyle w:val="MarginSubhead"/>
            </w:pPr>
            <w:r w:rsidRPr="00CB0C5E">
              <w:t>Delegation of file-review elements</w:t>
            </w:r>
          </w:p>
        </w:tc>
        <w:tc>
          <w:tcPr>
            <w:tcW w:w="7625" w:type="dxa"/>
            <w:tcBorders>
              <w:top w:val="nil"/>
              <w:left w:val="nil"/>
              <w:bottom w:val="nil"/>
              <w:right w:val="nil"/>
            </w:tcBorders>
            <w:tcMar>
              <w:left w:w="115" w:type="dxa"/>
              <w:right w:w="115" w:type="dxa"/>
            </w:tcMar>
          </w:tcPr>
          <w:p w:rsidR="00B83101" w:rsidRPr="00CB0C5E" w:rsidRDefault="00B83101" w:rsidP="00031E3B">
            <w:pPr>
              <w:pStyle w:val="Body"/>
            </w:pPr>
            <w:r w:rsidRPr="00CB0C5E">
              <w:t xml:space="preserve">If the organization delegates </w:t>
            </w:r>
            <w:r w:rsidR="0053361A" w:rsidRPr="00CB0C5E">
              <w:t>case man</w:t>
            </w:r>
            <w:r w:rsidR="008B1B7C" w:rsidRPr="00CB0C5E">
              <w:t>agement</w:t>
            </w:r>
            <w:r w:rsidRPr="00CB0C5E">
              <w:t xml:space="preserve">, </w:t>
            </w:r>
            <w:r w:rsidR="008B1B7C" w:rsidRPr="00CB0C5E">
              <w:t xml:space="preserve">CR </w:t>
            </w:r>
            <w:r w:rsidRPr="00CB0C5E">
              <w:t>or UM file</w:t>
            </w:r>
            <w:r w:rsidR="00F1725F">
              <w:t xml:space="preserve"> </w:t>
            </w:r>
            <w:r w:rsidRPr="00CB0C5E">
              <w:t>review elements, NCQA includes delegates</w:t>
            </w:r>
            <w:r w:rsidR="007E6C70">
              <w:t>’</w:t>
            </w:r>
            <w:r w:rsidRPr="00CB0C5E">
              <w:t xml:space="preserve"> files selected at random in the </w:t>
            </w:r>
            <w:r w:rsidR="008B1B7C" w:rsidRPr="00CB0C5E">
              <w:t>file-</w:t>
            </w:r>
            <w:r w:rsidRPr="00CB0C5E">
              <w:t>review portion of the NCQA survey. NCQA reserves the right to request site visits to delegates and additional file review</w:t>
            </w:r>
            <w:r w:rsidR="008B1B7C" w:rsidRPr="00CB0C5E">
              <w:t>,</w:t>
            </w:r>
            <w:r w:rsidRPr="00CB0C5E">
              <w:t xml:space="preserve"> and makes arrangements in advance of the </w:t>
            </w:r>
            <w:r w:rsidR="008B1B7C" w:rsidRPr="00CB0C5E">
              <w:t>organization</w:t>
            </w:r>
            <w:r w:rsidR="007E6C70">
              <w:t>’</w:t>
            </w:r>
            <w:r w:rsidR="008B1B7C" w:rsidRPr="00CB0C5E">
              <w:t xml:space="preserve">s </w:t>
            </w:r>
            <w:r w:rsidRPr="00CB0C5E">
              <w:t xml:space="preserve">survey if such action is necessary. </w:t>
            </w:r>
          </w:p>
        </w:tc>
      </w:tr>
    </w:tbl>
    <w:p w:rsidR="00072C80" w:rsidRDefault="00072C80">
      <w:pPr>
        <w:sectPr w:rsidR="00072C80" w:rsidSect="00744802">
          <w:pgSz w:w="12240" w:h="15840" w:code="1"/>
          <w:pgMar w:top="1080" w:right="1440" w:bottom="1080" w:left="1440" w:header="720" w:footer="720" w:gutter="0"/>
          <w:cols w:space="720"/>
          <w:docGrid w:linePitch="36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80" w:type="dxa"/>
          <w:right w:w="180" w:type="dxa"/>
        </w:tblCellMar>
        <w:tblLook w:val="0000" w:firstRow="0" w:lastRow="0" w:firstColumn="0" w:lastColumn="0" w:noHBand="0" w:noVBand="0"/>
      </w:tblPr>
      <w:tblGrid>
        <w:gridCol w:w="1915"/>
        <w:gridCol w:w="7625"/>
      </w:tblGrid>
      <w:tr w:rsidR="00B83101" w:rsidRPr="00CB0C5E" w:rsidTr="003E2C99">
        <w:tc>
          <w:tcPr>
            <w:tcW w:w="1915" w:type="dxa"/>
            <w:tcBorders>
              <w:top w:val="nil"/>
              <w:left w:val="nil"/>
              <w:bottom w:val="nil"/>
              <w:right w:val="nil"/>
            </w:tcBorders>
            <w:tcMar>
              <w:left w:w="115" w:type="dxa"/>
              <w:right w:w="115" w:type="dxa"/>
            </w:tcMar>
          </w:tcPr>
          <w:p w:rsidR="00B83101" w:rsidRPr="00CB0C5E" w:rsidRDefault="00B83101" w:rsidP="00072C80">
            <w:pPr>
              <w:pStyle w:val="MarginSubhead"/>
              <w:spacing w:before="0"/>
            </w:pPr>
            <w:r w:rsidRPr="00CB0C5E">
              <w:lastRenderedPageBreak/>
              <w:t>Delegation of non-file-review elements</w:t>
            </w:r>
          </w:p>
        </w:tc>
        <w:tc>
          <w:tcPr>
            <w:tcW w:w="7625" w:type="dxa"/>
            <w:tcBorders>
              <w:top w:val="nil"/>
              <w:left w:val="nil"/>
              <w:bottom w:val="nil"/>
              <w:right w:val="nil"/>
            </w:tcBorders>
            <w:tcMar>
              <w:left w:w="115" w:type="dxa"/>
              <w:right w:w="115" w:type="dxa"/>
            </w:tcMar>
          </w:tcPr>
          <w:p w:rsidR="00B83101" w:rsidRPr="00CB0C5E" w:rsidRDefault="00B83101" w:rsidP="00072C80">
            <w:pPr>
              <w:pStyle w:val="Body"/>
              <w:spacing w:before="0"/>
            </w:pPr>
            <w:r w:rsidRPr="00CB0C5E">
              <w:t xml:space="preserve">If the organization delegates QI (with the exception of </w:t>
            </w:r>
            <w:r w:rsidR="0053361A" w:rsidRPr="00CB0C5E">
              <w:t>complex case man</w:t>
            </w:r>
            <w:r w:rsidRPr="00CB0C5E">
              <w:t xml:space="preserve">agement) to an MBHO, </w:t>
            </w:r>
            <w:r w:rsidR="00DB0120" w:rsidRPr="00CB0C5E">
              <w:t>DM</w:t>
            </w:r>
            <w:r w:rsidR="008B1B7C" w:rsidRPr="00CB0C5E">
              <w:t xml:space="preserve"> or </w:t>
            </w:r>
            <w:r w:rsidRPr="00CB0C5E">
              <w:t xml:space="preserve">PBM </w:t>
            </w:r>
            <w:r w:rsidR="008B1B7C" w:rsidRPr="00CB0C5E">
              <w:t xml:space="preserve">organization, </w:t>
            </w:r>
            <w:r w:rsidRPr="00CB0C5E">
              <w:t>NCQA does not directly evaluate delegate performance because the scope of services provided by each delegate is limited; however, the organization may present the delegate</w:t>
            </w:r>
            <w:r w:rsidR="007E6C70">
              <w:t>’</w:t>
            </w:r>
            <w:r w:rsidRPr="00CB0C5E">
              <w:t>s activities as evidence of performance</w:t>
            </w:r>
            <w:r w:rsidR="008B1B7C" w:rsidRPr="00CB0C5E">
              <w:t>,</w:t>
            </w:r>
            <w:r w:rsidRPr="00CB0C5E">
              <w:t xml:space="preserve"> as necessary. NCQA continues to evaluate the organization</w:t>
            </w:r>
            <w:r w:rsidR="007E6C70">
              <w:t>’</w:t>
            </w:r>
            <w:r w:rsidRPr="00CB0C5E">
              <w:t>s oversight of the delegates.</w:t>
            </w:r>
          </w:p>
          <w:p w:rsidR="00B83101" w:rsidRPr="00CB0C5E" w:rsidRDefault="00B83101" w:rsidP="00081233">
            <w:pPr>
              <w:pStyle w:val="Body"/>
            </w:pPr>
            <w:r w:rsidRPr="00CB0C5E">
              <w:t xml:space="preserve">If the organization delegates QI functions (other than to an MBHO, PBM or </w:t>
            </w:r>
            <w:r w:rsidR="00DB0120" w:rsidRPr="00CB0C5E">
              <w:t>DM</w:t>
            </w:r>
            <w:r w:rsidR="008B1B7C" w:rsidRPr="00CB0C5E">
              <w:t xml:space="preserve"> organization</w:t>
            </w:r>
            <w:r w:rsidRPr="00CB0C5E">
              <w:t xml:space="preserve">) affecting 30 percent or more of its membership, NCQA also evaluates applicable non-file-review elements for a sample of up to four delegates. </w:t>
            </w:r>
            <w:r w:rsidR="00783071" w:rsidRPr="00CB0C5E">
              <w:t xml:space="preserve">The </w:t>
            </w:r>
            <w:r w:rsidR="00F50815" w:rsidRPr="00CB0C5E">
              <w:t>delegate</w:t>
            </w:r>
            <w:r w:rsidR="007E6C70">
              <w:t>’</w:t>
            </w:r>
            <w:r w:rsidR="00F50815" w:rsidRPr="00CB0C5E">
              <w:t>s documentation to meet delegated functions should be inclu</w:t>
            </w:r>
            <w:r w:rsidR="002B6E21">
              <w:t>ded in the appropriate non-file-</w:t>
            </w:r>
            <w:r w:rsidR="00F50815" w:rsidRPr="00CB0C5E">
              <w:t>review elements.</w:t>
            </w:r>
          </w:p>
        </w:tc>
      </w:tr>
    </w:tbl>
    <w:p w:rsidR="006E285B" w:rsidRPr="00CB0C5E" w:rsidRDefault="006E285B">
      <w:pPr>
        <w:pStyle w:val="TableText2"/>
        <w:spacing w:before="0"/>
        <w:ind w:left="245" w:hanging="245"/>
      </w:pPr>
    </w:p>
    <w:sectPr w:rsidR="006E285B" w:rsidRPr="00CB0C5E" w:rsidSect="00744802">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1ED" w:rsidRDefault="00BF61ED" w:rsidP="006E285B">
      <w:pPr>
        <w:pStyle w:val="Date"/>
      </w:pPr>
      <w:r>
        <w:separator/>
      </w:r>
    </w:p>
  </w:endnote>
  <w:endnote w:type="continuationSeparator" w:id="0">
    <w:p w:rsidR="00BF61ED" w:rsidRDefault="00BF61ED" w:rsidP="006E285B">
      <w:pPr>
        <w:pStyle w:val="Da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ont190">
    <w:altName w:val="Times New Roman"/>
    <w:panose1 w:val="00000000000000000000"/>
    <w:charset w:val="00"/>
    <w:family w:val="auto"/>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Narrow Bold">
    <w:panose1 w:val="020B0706020202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D" w:rsidRDefault="00BF61ED">
    <w:pPr>
      <w:pStyle w:val="Footer"/>
    </w:pPr>
    <w:r>
      <w:rPr>
        <w:i/>
      </w:rPr>
      <w:t>2004 MCO Standards and Guidelines</w:t>
    </w:r>
    <w:r>
      <w:tab/>
      <w:t>Effective July 1, 2004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D" w:rsidRDefault="00BF61ED">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D" w:rsidRDefault="00BF61ED" w:rsidP="00E34CDF">
    <w:pPr>
      <w:pStyle w:val="Footer"/>
    </w:pPr>
    <w:r>
      <w:rPr>
        <w:i/>
      </w:rPr>
      <w:t>2014 HP Standards and Guidelines</w:t>
    </w:r>
    <w:r>
      <w:tab/>
    </w:r>
    <w:r w:rsidRPr="0068238A">
      <w:t>Effective for Surveys Beginning On or After July 1, 20</w:t>
    </w:r>
    <w:r>
      <w:t>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D" w:rsidRDefault="00BF61ED">
    <w:pPr>
      <w:pStyle w:val="Footer"/>
    </w:pPr>
    <w:r w:rsidRPr="0068238A">
      <w:t>Effective for Surveys Beginning On or After July 1, 20</w:t>
    </w:r>
    <w:r>
      <w:t>14</w:t>
    </w:r>
    <w:r>
      <w:tab/>
    </w:r>
    <w:r>
      <w:rPr>
        <w:i/>
      </w:rPr>
      <w:t>2014 HP Standards and Guidelines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1ED" w:rsidRDefault="00BF61ED" w:rsidP="006E285B">
      <w:pPr>
        <w:pStyle w:val="Date"/>
      </w:pPr>
      <w:r>
        <w:separator/>
      </w:r>
    </w:p>
  </w:footnote>
  <w:footnote w:type="continuationSeparator" w:id="0">
    <w:p w:rsidR="00BF61ED" w:rsidRDefault="00BF61ED" w:rsidP="006E285B">
      <w:pPr>
        <w:pStyle w:val="Dat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D" w:rsidRDefault="007F228C">
    <w:pPr>
      <w:pStyle w:val="Header"/>
      <w:jc w:val="right"/>
    </w:pPr>
    <w:r>
      <w:rPr>
        <w:rStyle w:val="PageNumber"/>
      </w:rPr>
      <w:fldChar w:fldCharType="begin"/>
    </w:r>
    <w:r w:rsidR="00BF61ED">
      <w:rPr>
        <w:rStyle w:val="PageNumber"/>
      </w:rPr>
      <w:instrText xml:space="preserve"> PAGE </w:instrText>
    </w:r>
    <w:r>
      <w:rPr>
        <w:rStyle w:val="PageNumber"/>
      </w:rPr>
      <w:fldChar w:fldCharType="separate"/>
    </w:r>
    <w:r w:rsidR="00BF61ED">
      <w:rPr>
        <w:rStyle w:val="PageNumber"/>
        <w:noProof/>
      </w:rPr>
      <w:t>402</w:t>
    </w:r>
    <w:r>
      <w:rPr>
        <w:rStyle w:val="PageNumber"/>
      </w:rPr>
      <w:fldChar w:fldCharType="end"/>
    </w:r>
    <w:r w:rsidR="00BF61ED">
      <w:rPr>
        <w:rStyle w:val="PageNumber"/>
      </w:rPr>
      <w:tab/>
    </w:r>
    <w:r w:rsidR="00BF61ED">
      <w:t>Appendix 3—Delegation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D" w:rsidRDefault="00BF61ED">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D" w:rsidRPr="00FC1E09" w:rsidRDefault="00BF61ED" w:rsidP="00FC1E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D" w:rsidRDefault="00BF61ED">
    <w:pPr>
      <w:pStyle w:val="Header"/>
      <w:pBdr>
        <w:bottom w:val="single" w:sz="6" w:space="0" w:color="auto"/>
      </w:pBdr>
      <w:tabs>
        <w:tab w:val="right" w:pos="9180"/>
      </w:tabs>
    </w:pPr>
    <w:r>
      <w:tab/>
      <w:t>Appendix 3—Delegation</w:t>
    </w:r>
    <w:r>
      <w:tab/>
    </w:r>
    <w:r w:rsidR="007F228C">
      <w:rPr>
        <w:rStyle w:val="PageNumber"/>
      </w:rPr>
      <w:fldChar w:fldCharType="begin"/>
    </w:r>
    <w:r>
      <w:rPr>
        <w:rStyle w:val="PageNumber"/>
      </w:rPr>
      <w:instrText xml:space="preserve"> PAGE </w:instrText>
    </w:r>
    <w:r w:rsidR="007F228C">
      <w:rPr>
        <w:rStyle w:val="PageNumber"/>
      </w:rPr>
      <w:fldChar w:fldCharType="separate"/>
    </w:r>
    <w:r>
      <w:rPr>
        <w:rStyle w:val="PageNumber"/>
        <w:noProof/>
      </w:rPr>
      <w:t>5</w:t>
    </w:r>
    <w:r w:rsidR="007F228C">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D" w:rsidRDefault="00BF61ED" w:rsidP="00F15B45">
    <w:pPr>
      <w:pStyle w:val="Header"/>
      <w:tabs>
        <w:tab w:val="left" w:pos="720"/>
      </w:tabs>
    </w:pPr>
    <w:r>
      <w:rPr>
        <w:rStyle w:val="PageNumber"/>
      </w:rPr>
      <w:t>5-</w:t>
    </w:r>
    <w:r w:rsidR="007F228C">
      <w:rPr>
        <w:rStyle w:val="PageNumber"/>
      </w:rPr>
      <w:fldChar w:fldCharType="begin"/>
    </w:r>
    <w:r>
      <w:rPr>
        <w:rStyle w:val="PageNumber"/>
      </w:rPr>
      <w:instrText xml:space="preserve"> PAGE </w:instrText>
    </w:r>
    <w:r w:rsidR="007F228C">
      <w:rPr>
        <w:rStyle w:val="PageNumber"/>
      </w:rPr>
      <w:fldChar w:fldCharType="separate"/>
    </w:r>
    <w:r w:rsidR="00912929">
      <w:rPr>
        <w:rStyle w:val="PageNumber"/>
        <w:noProof/>
      </w:rPr>
      <w:t>16</w:t>
    </w:r>
    <w:r w:rsidR="007F228C">
      <w:rPr>
        <w:rStyle w:val="PageNumber"/>
      </w:rPr>
      <w:fldChar w:fldCharType="end"/>
    </w:r>
    <w:r>
      <w:rPr>
        <w:rStyle w:val="PageNumber"/>
      </w:rPr>
      <w:tab/>
      <w:t>Appendix 5—Delegation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D" w:rsidRDefault="00BF61ED" w:rsidP="00311C3A">
    <w:pPr>
      <w:pStyle w:val="Header"/>
    </w:pPr>
    <w:r>
      <w:tab/>
      <w:t>Appendix 5—Delegation</w:t>
    </w:r>
    <w:r>
      <w:tab/>
      <w:t>5-</w:t>
    </w:r>
    <w:r w:rsidR="007F228C">
      <w:rPr>
        <w:rStyle w:val="PageNumber"/>
      </w:rPr>
      <w:fldChar w:fldCharType="begin"/>
    </w:r>
    <w:r>
      <w:rPr>
        <w:rStyle w:val="PageNumber"/>
      </w:rPr>
      <w:instrText xml:space="preserve"> PAGE </w:instrText>
    </w:r>
    <w:r w:rsidR="007F228C">
      <w:rPr>
        <w:rStyle w:val="PageNumber"/>
      </w:rPr>
      <w:fldChar w:fldCharType="separate"/>
    </w:r>
    <w:r w:rsidR="00912929">
      <w:rPr>
        <w:rStyle w:val="PageNumber"/>
        <w:noProof/>
      </w:rPr>
      <w:t>17</w:t>
    </w:r>
    <w:r w:rsidR="007F228C">
      <w:rPr>
        <w:rStyle w:val="PageNumbe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ED" w:rsidRDefault="00BF61ED">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35C3088"/>
    <w:lvl w:ilvl="0">
      <w:start w:val="1"/>
      <w:numFmt w:val="decimal"/>
      <w:lvlText w:val="%1."/>
      <w:lvlJc w:val="left"/>
      <w:pPr>
        <w:tabs>
          <w:tab w:val="num" w:pos="1800"/>
        </w:tabs>
        <w:ind w:left="1800" w:hanging="360"/>
      </w:pPr>
    </w:lvl>
  </w:abstractNum>
  <w:abstractNum w:abstractNumId="1">
    <w:nsid w:val="FFFFFF7D"/>
    <w:multiLevelType w:val="singleLevel"/>
    <w:tmpl w:val="B982201C"/>
    <w:lvl w:ilvl="0">
      <w:start w:val="1"/>
      <w:numFmt w:val="decimal"/>
      <w:lvlText w:val="%1."/>
      <w:lvlJc w:val="left"/>
      <w:pPr>
        <w:tabs>
          <w:tab w:val="num" w:pos="1440"/>
        </w:tabs>
        <w:ind w:left="1440" w:hanging="360"/>
      </w:pPr>
    </w:lvl>
  </w:abstractNum>
  <w:abstractNum w:abstractNumId="2">
    <w:nsid w:val="FFFFFF7E"/>
    <w:multiLevelType w:val="singleLevel"/>
    <w:tmpl w:val="011E50CA"/>
    <w:lvl w:ilvl="0">
      <w:start w:val="1"/>
      <w:numFmt w:val="decimal"/>
      <w:lvlText w:val="%1."/>
      <w:lvlJc w:val="left"/>
      <w:pPr>
        <w:tabs>
          <w:tab w:val="num" w:pos="1080"/>
        </w:tabs>
        <w:ind w:left="1080" w:hanging="360"/>
      </w:pPr>
    </w:lvl>
  </w:abstractNum>
  <w:abstractNum w:abstractNumId="3">
    <w:nsid w:val="FFFFFF7F"/>
    <w:multiLevelType w:val="singleLevel"/>
    <w:tmpl w:val="8D70794E"/>
    <w:lvl w:ilvl="0">
      <w:start w:val="1"/>
      <w:numFmt w:val="decimal"/>
      <w:lvlText w:val="%1."/>
      <w:lvlJc w:val="left"/>
      <w:pPr>
        <w:tabs>
          <w:tab w:val="num" w:pos="720"/>
        </w:tabs>
        <w:ind w:left="720" w:hanging="360"/>
      </w:pPr>
    </w:lvl>
  </w:abstractNum>
  <w:abstractNum w:abstractNumId="4">
    <w:nsid w:val="FFFFFF80"/>
    <w:multiLevelType w:val="singleLevel"/>
    <w:tmpl w:val="352077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73CFD9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33C66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BBE8B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4C2C9EA"/>
    <w:lvl w:ilvl="0">
      <w:start w:val="1"/>
      <w:numFmt w:val="decimal"/>
      <w:lvlText w:val="%1."/>
      <w:lvlJc w:val="left"/>
      <w:pPr>
        <w:tabs>
          <w:tab w:val="num" w:pos="360"/>
        </w:tabs>
        <w:ind w:left="360" w:hanging="360"/>
      </w:pPr>
    </w:lvl>
  </w:abstractNum>
  <w:abstractNum w:abstractNumId="9">
    <w:nsid w:val="FFFFFF89"/>
    <w:multiLevelType w:val="singleLevel"/>
    <w:tmpl w:val="6374C6B6"/>
    <w:lvl w:ilvl="0">
      <w:start w:val="1"/>
      <w:numFmt w:val="bullet"/>
      <w:lvlText w:val=""/>
      <w:lvlJc w:val="left"/>
      <w:pPr>
        <w:tabs>
          <w:tab w:val="num" w:pos="360"/>
        </w:tabs>
        <w:ind w:left="360" w:hanging="360"/>
      </w:pPr>
      <w:rPr>
        <w:rFonts w:ascii="Symbol" w:hAnsi="Symbol" w:hint="default"/>
      </w:rPr>
    </w:lvl>
  </w:abstractNum>
  <w:abstractNum w:abstractNumId="10">
    <w:nsid w:val="013C79FA"/>
    <w:multiLevelType w:val="singleLevel"/>
    <w:tmpl w:val="43AC756C"/>
    <w:lvl w:ilvl="0">
      <w:start w:val="1"/>
      <w:numFmt w:val="bullet"/>
      <w:lvlText w:val=""/>
      <w:lvlJc w:val="left"/>
      <w:pPr>
        <w:tabs>
          <w:tab w:val="num" w:pos="360"/>
        </w:tabs>
        <w:ind w:left="158" w:hanging="158"/>
      </w:pPr>
      <w:rPr>
        <w:rFonts w:ascii="Symbol" w:hAnsi="Symbol" w:hint="default"/>
      </w:rPr>
    </w:lvl>
  </w:abstractNum>
  <w:abstractNum w:abstractNumId="11">
    <w:nsid w:val="04137BC4"/>
    <w:multiLevelType w:val="singleLevel"/>
    <w:tmpl w:val="F2A428A0"/>
    <w:lvl w:ilvl="0">
      <w:start w:val="1"/>
      <w:numFmt w:val="bullet"/>
      <w:lvlText w:val=""/>
      <w:lvlJc w:val="left"/>
      <w:pPr>
        <w:tabs>
          <w:tab w:val="num" w:pos="432"/>
        </w:tabs>
        <w:ind w:left="360" w:hanging="288"/>
      </w:pPr>
      <w:rPr>
        <w:rFonts w:ascii="Symbol" w:hAnsi="Symbol" w:hint="default"/>
        <w:sz w:val="22"/>
      </w:rPr>
    </w:lvl>
  </w:abstractNum>
  <w:abstractNum w:abstractNumId="12">
    <w:nsid w:val="05053475"/>
    <w:multiLevelType w:val="multilevel"/>
    <w:tmpl w:val="77CEB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AF1AFC"/>
    <w:multiLevelType w:val="hybridMultilevel"/>
    <w:tmpl w:val="EADA2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1634E1"/>
    <w:multiLevelType w:val="hybridMultilevel"/>
    <w:tmpl w:val="A2D68078"/>
    <w:lvl w:ilvl="0" w:tplc="707CB0F4">
      <w:start w:val="1"/>
      <w:numFmt w:val="bullet"/>
      <w:pStyle w:val="TableDash"/>
      <w:lvlText w:val="–"/>
      <w:lvlJc w:val="left"/>
      <w:pPr>
        <w:tabs>
          <w:tab w:val="num" w:pos="432"/>
        </w:tabs>
        <w:ind w:left="432" w:hanging="216"/>
      </w:pPr>
      <w:rPr>
        <w:rFonts w:ascii="Arial" w:hAnsi="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163AC4"/>
    <w:multiLevelType w:val="hybridMultilevel"/>
    <w:tmpl w:val="415A83FA"/>
    <w:lvl w:ilvl="0" w:tplc="BFB07F1E">
      <w:start w:val="1"/>
      <w:numFmt w:val="bullet"/>
      <w:pStyle w:val="Dash"/>
      <w:lvlText w:val="–"/>
      <w:lvlJc w:val="left"/>
      <w:pPr>
        <w:tabs>
          <w:tab w:val="num" w:pos="792"/>
        </w:tabs>
        <w:ind w:left="792" w:hanging="216"/>
      </w:pPr>
      <w:rPr>
        <w:rFonts w:ascii="Arial" w:hAnsi="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B471F0A"/>
    <w:multiLevelType w:val="singleLevel"/>
    <w:tmpl w:val="668435E0"/>
    <w:lvl w:ilvl="0">
      <w:start w:val="1"/>
      <w:numFmt w:val="bullet"/>
      <w:lvlText w:val=""/>
      <w:lvlJc w:val="left"/>
      <w:pPr>
        <w:tabs>
          <w:tab w:val="num" w:pos="1166"/>
        </w:tabs>
        <w:ind w:left="187" w:firstLine="619"/>
      </w:pPr>
      <w:rPr>
        <w:rFonts w:ascii="Symbol" w:hAnsi="Symbol" w:hint="default"/>
      </w:rPr>
    </w:lvl>
  </w:abstractNum>
  <w:abstractNum w:abstractNumId="17">
    <w:nsid w:val="1B914FBF"/>
    <w:multiLevelType w:val="hybridMultilevel"/>
    <w:tmpl w:val="25628A82"/>
    <w:lvl w:ilvl="0" w:tplc="46CECBE2">
      <w:start w:val="1"/>
      <w:numFmt w:val="bullet"/>
      <w:pStyle w:val="ProcessDash"/>
      <w:lvlText w:val="–"/>
      <w:lvlJc w:val="left"/>
      <w:pPr>
        <w:tabs>
          <w:tab w:val="num" w:pos="432"/>
        </w:tabs>
        <w:ind w:left="432" w:hanging="216"/>
      </w:pPr>
      <w:rPr>
        <w:rFonts w:ascii="Arial" w:hAnsi="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678763D"/>
    <w:multiLevelType w:val="hybridMultilevel"/>
    <w:tmpl w:val="AF524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C351E12"/>
    <w:multiLevelType w:val="hybridMultilevel"/>
    <w:tmpl w:val="AFC46A34"/>
    <w:lvl w:ilvl="0" w:tplc="9DA44C80">
      <w:start w:val="1"/>
      <w:numFmt w:val="bullet"/>
      <w:pStyle w:val="Margin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0360CA"/>
    <w:multiLevelType w:val="hybridMultilevel"/>
    <w:tmpl w:val="FF32E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346E40"/>
    <w:multiLevelType w:val="hybridMultilevel"/>
    <w:tmpl w:val="A18C2644"/>
    <w:lvl w:ilvl="0" w:tplc="2A3C8A1A">
      <w:start w:val="1"/>
      <w:numFmt w:val="bullet"/>
      <w:pStyle w:val="TableBullet"/>
      <w:lvlText w:val=""/>
      <w:lvlJc w:val="left"/>
      <w:pPr>
        <w:tabs>
          <w:tab w:val="num" w:pos="216"/>
        </w:tabs>
        <w:ind w:left="21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492FEE"/>
    <w:multiLevelType w:val="hybridMultilevel"/>
    <w:tmpl w:val="0F1C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D26823"/>
    <w:multiLevelType w:val="singleLevel"/>
    <w:tmpl w:val="83DAB22E"/>
    <w:lvl w:ilvl="0">
      <w:start w:val="1"/>
      <w:numFmt w:val="bullet"/>
      <w:lvlText w:val="–"/>
      <w:lvlJc w:val="left"/>
      <w:pPr>
        <w:tabs>
          <w:tab w:val="num" w:pos="360"/>
        </w:tabs>
        <w:ind w:left="0" w:firstLine="0"/>
      </w:pPr>
      <w:rPr>
        <w:rFonts w:ascii="Book Antiqua" w:hAnsi="Book Antiqua" w:hint="default"/>
      </w:rPr>
    </w:lvl>
  </w:abstractNum>
  <w:abstractNum w:abstractNumId="24">
    <w:nsid w:val="466C709B"/>
    <w:multiLevelType w:val="hybridMultilevel"/>
    <w:tmpl w:val="51164F52"/>
    <w:lvl w:ilvl="0" w:tplc="D6E259D4">
      <w:start w:val="1"/>
      <w:numFmt w:val="bullet"/>
      <w:pStyle w:val="ProcessBullet"/>
      <w:lvlText w:val=""/>
      <w:lvlJc w:val="left"/>
      <w:pPr>
        <w:tabs>
          <w:tab w:val="num" w:pos="216"/>
        </w:tabs>
        <w:ind w:left="21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4260CC"/>
    <w:multiLevelType w:val="hybridMultilevel"/>
    <w:tmpl w:val="8D46489A"/>
    <w:lvl w:ilvl="0" w:tplc="BB68F55C">
      <w:start w:val="1"/>
      <w:numFmt w:val="bullet"/>
      <w:pStyle w:val="MarginDash"/>
      <w:lvlText w:val="–"/>
      <w:lvlJc w:val="left"/>
      <w:pPr>
        <w:tabs>
          <w:tab w:val="num" w:pos="0"/>
        </w:tabs>
        <w:ind w:left="317" w:hanging="159"/>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0F57C6D"/>
    <w:multiLevelType w:val="hybridMultilevel"/>
    <w:tmpl w:val="7FF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EC6440"/>
    <w:multiLevelType w:val="multilevel"/>
    <w:tmpl w:val="60D8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84441F"/>
    <w:multiLevelType w:val="hybridMultilevel"/>
    <w:tmpl w:val="2B6C1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96C4CF0"/>
    <w:multiLevelType w:val="hybridMultilevel"/>
    <w:tmpl w:val="CB1EF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32050A"/>
    <w:multiLevelType w:val="hybridMultilevel"/>
    <w:tmpl w:val="136EBDBA"/>
    <w:lvl w:ilvl="0" w:tplc="84C4D046">
      <w:start w:val="1"/>
      <w:numFmt w:val="bullet"/>
      <w:pStyle w:val="Bullet"/>
      <w:lvlText w:val=""/>
      <w:lvlJc w:val="left"/>
      <w:pPr>
        <w:tabs>
          <w:tab w:val="num" w:pos="576"/>
        </w:tabs>
        <w:ind w:left="936" w:hanging="216"/>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C700B95"/>
    <w:multiLevelType w:val="hybridMultilevel"/>
    <w:tmpl w:val="2F74DAD4"/>
    <w:lvl w:ilvl="0" w:tplc="06449E76">
      <w:start w:val="1"/>
      <w:numFmt w:val="bullet"/>
      <w:lvlText w:val=""/>
      <w:lvlJc w:val="left"/>
      <w:pPr>
        <w:tabs>
          <w:tab w:val="num" w:pos="0"/>
        </w:tabs>
        <w:ind w:left="216"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5434C1"/>
    <w:multiLevelType w:val="singleLevel"/>
    <w:tmpl w:val="B33A4A96"/>
    <w:lvl w:ilvl="0">
      <w:start w:val="1"/>
      <w:numFmt w:val="bullet"/>
      <w:lvlText w:val=""/>
      <w:lvlJc w:val="left"/>
      <w:pPr>
        <w:tabs>
          <w:tab w:val="num" w:pos="432"/>
        </w:tabs>
        <w:ind w:left="360" w:hanging="288"/>
      </w:pPr>
      <w:rPr>
        <w:rFonts w:ascii="Symbol" w:hAnsi="Symbol" w:hint="default"/>
        <w:sz w:val="22"/>
      </w:rPr>
    </w:lvl>
  </w:abstractNum>
  <w:abstractNum w:abstractNumId="33">
    <w:nsid w:val="6FB376BC"/>
    <w:multiLevelType w:val="hybridMultilevel"/>
    <w:tmpl w:val="CA06D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2C5281"/>
    <w:multiLevelType w:val="singleLevel"/>
    <w:tmpl w:val="CFE8AA90"/>
    <w:lvl w:ilvl="0">
      <w:start w:val="1"/>
      <w:numFmt w:val="bullet"/>
      <w:lvlText w:val="–"/>
      <w:lvlJc w:val="left"/>
      <w:pPr>
        <w:tabs>
          <w:tab w:val="num" w:pos="432"/>
        </w:tabs>
        <w:ind w:left="360" w:hanging="288"/>
      </w:pPr>
      <w:rPr>
        <w:rFonts w:ascii="font190" w:hAnsi="font190" w:hint="default"/>
      </w:rPr>
    </w:lvl>
  </w:abstractNum>
  <w:abstractNum w:abstractNumId="35">
    <w:nsid w:val="78162B61"/>
    <w:multiLevelType w:val="hybridMultilevel"/>
    <w:tmpl w:val="D3D07836"/>
    <w:lvl w:ilvl="0" w:tplc="A15E0C30">
      <w:start w:val="1"/>
      <w:numFmt w:val="bullet"/>
      <w:pStyle w:val="Bullet3"/>
      <w:lvlText w:val=""/>
      <w:lvlJc w:val="left"/>
      <w:pPr>
        <w:tabs>
          <w:tab w:val="num" w:pos="360"/>
        </w:tabs>
        <w:ind w:left="576" w:firstLine="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4"/>
  </w:num>
  <w:num w:numId="2">
    <w:abstractNumId w:val="16"/>
  </w:num>
  <w:num w:numId="3">
    <w:abstractNumId w:val="10"/>
  </w:num>
  <w:num w:numId="4">
    <w:abstractNumId w:val="11"/>
  </w:num>
  <w:num w:numId="5">
    <w:abstractNumId w:val="32"/>
  </w:num>
  <w:num w:numId="6">
    <w:abstractNumId w:val="23"/>
  </w:num>
  <w:num w:numId="7">
    <w:abstractNumId w:val="30"/>
  </w:num>
  <w:num w:numId="8">
    <w:abstractNumId w:val="15"/>
  </w:num>
  <w:num w:numId="9">
    <w:abstractNumId w:val="21"/>
  </w:num>
  <w:num w:numId="10">
    <w:abstractNumId w:val="14"/>
  </w:num>
  <w:num w:numId="11">
    <w:abstractNumId w:val="24"/>
  </w:num>
  <w:num w:numId="12">
    <w:abstractNumId w:val="17"/>
  </w:num>
  <w:num w:numId="13">
    <w:abstractNumId w:val="29"/>
  </w:num>
  <w:num w:numId="14">
    <w:abstractNumId w:val="20"/>
  </w:num>
  <w:num w:numId="15">
    <w:abstractNumId w:val="18"/>
  </w:num>
  <w:num w:numId="16">
    <w:abstractNumId w:val="13"/>
  </w:num>
  <w:num w:numId="17">
    <w:abstractNumId w:val="33"/>
  </w:num>
  <w:num w:numId="18">
    <w:abstractNumId w:val="28"/>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5"/>
  </w:num>
  <w:num w:numId="30">
    <w:abstractNumId w:val="31"/>
  </w:num>
  <w:num w:numId="31">
    <w:abstractNumId w:val="35"/>
  </w:num>
  <w:num w:numId="32">
    <w:abstractNumId w:val="19"/>
  </w:num>
  <w:num w:numId="33">
    <w:abstractNumId w:val="26"/>
  </w:num>
  <w:num w:numId="34">
    <w:abstractNumId w:val="12"/>
  </w:num>
  <w:num w:numId="35">
    <w:abstractNumId w:val="2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90"/>
  <w:embedSystemFonts/>
  <w:activeWritingStyle w:appName="MSWord" w:lang="en-US" w:vendorID="64" w:dllVersion="131078"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evenAndOddHeader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C3A"/>
    <w:rsid w:val="00004CF6"/>
    <w:rsid w:val="00011229"/>
    <w:rsid w:val="0001384A"/>
    <w:rsid w:val="00013C8B"/>
    <w:rsid w:val="00016B16"/>
    <w:rsid w:val="00017B36"/>
    <w:rsid w:val="00022AD0"/>
    <w:rsid w:val="00023E0B"/>
    <w:rsid w:val="00031E3B"/>
    <w:rsid w:val="00032F21"/>
    <w:rsid w:val="00034555"/>
    <w:rsid w:val="00034910"/>
    <w:rsid w:val="00034F88"/>
    <w:rsid w:val="00041949"/>
    <w:rsid w:val="00044E00"/>
    <w:rsid w:val="00045447"/>
    <w:rsid w:val="00045EC4"/>
    <w:rsid w:val="00046A7C"/>
    <w:rsid w:val="0004791C"/>
    <w:rsid w:val="000500A9"/>
    <w:rsid w:val="00050404"/>
    <w:rsid w:val="00052BB4"/>
    <w:rsid w:val="0005571D"/>
    <w:rsid w:val="00057C26"/>
    <w:rsid w:val="00061737"/>
    <w:rsid w:val="00064FDF"/>
    <w:rsid w:val="00071991"/>
    <w:rsid w:val="00072082"/>
    <w:rsid w:val="00072C80"/>
    <w:rsid w:val="00080EFA"/>
    <w:rsid w:val="00081233"/>
    <w:rsid w:val="000817D7"/>
    <w:rsid w:val="000829C7"/>
    <w:rsid w:val="00083605"/>
    <w:rsid w:val="00083D1F"/>
    <w:rsid w:val="00084851"/>
    <w:rsid w:val="0008766F"/>
    <w:rsid w:val="0008795C"/>
    <w:rsid w:val="00091C06"/>
    <w:rsid w:val="00097BBB"/>
    <w:rsid w:val="000A4A4C"/>
    <w:rsid w:val="000A4E8F"/>
    <w:rsid w:val="000A4FC7"/>
    <w:rsid w:val="000A504E"/>
    <w:rsid w:val="000A52CE"/>
    <w:rsid w:val="000A6CE3"/>
    <w:rsid w:val="000B173C"/>
    <w:rsid w:val="000B3A7C"/>
    <w:rsid w:val="000B6441"/>
    <w:rsid w:val="000B6E5C"/>
    <w:rsid w:val="000C030B"/>
    <w:rsid w:val="000C342B"/>
    <w:rsid w:val="000C5630"/>
    <w:rsid w:val="000C7A2C"/>
    <w:rsid w:val="000C7FF1"/>
    <w:rsid w:val="000D09D7"/>
    <w:rsid w:val="000E1D32"/>
    <w:rsid w:val="000E204B"/>
    <w:rsid w:val="000E749E"/>
    <w:rsid w:val="000F5B7B"/>
    <w:rsid w:val="000F6268"/>
    <w:rsid w:val="0010180E"/>
    <w:rsid w:val="001026CF"/>
    <w:rsid w:val="0011769E"/>
    <w:rsid w:val="00120883"/>
    <w:rsid w:val="00120895"/>
    <w:rsid w:val="001220E4"/>
    <w:rsid w:val="00122A18"/>
    <w:rsid w:val="0012598E"/>
    <w:rsid w:val="00132EEC"/>
    <w:rsid w:val="00135563"/>
    <w:rsid w:val="00137447"/>
    <w:rsid w:val="00137F08"/>
    <w:rsid w:val="00147635"/>
    <w:rsid w:val="00147E27"/>
    <w:rsid w:val="00151205"/>
    <w:rsid w:val="00155BE9"/>
    <w:rsid w:val="00160C89"/>
    <w:rsid w:val="001616CB"/>
    <w:rsid w:val="001640FE"/>
    <w:rsid w:val="00164946"/>
    <w:rsid w:val="001677FD"/>
    <w:rsid w:val="00176A38"/>
    <w:rsid w:val="00181FC6"/>
    <w:rsid w:val="00182B23"/>
    <w:rsid w:val="00183CE4"/>
    <w:rsid w:val="00183FDE"/>
    <w:rsid w:val="001843CE"/>
    <w:rsid w:val="00194A9A"/>
    <w:rsid w:val="001954A3"/>
    <w:rsid w:val="001956D5"/>
    <w:rsid w:val="00195FF9"/>
    <w:rsid w:val="00196809"/>
    <w:rsid w:val="00197401"/>
    <w:rsid w:val="001A4D5D"/>
    <w:rsid w:val="001A6FBC"/>
    <w:rsid w:val="001B1A99"/>
    <w:rsid w:val="001B2477"/>
    <w:rsid w:val="001B311A"/>
    <w:rsid w:val="001B6C04"/>
    <w:rsid w:val="001C2053"/>
    <w:rsid w:val="001D6A01"/>
    <w:rsid w:val="001D700E"/>
    <w:rsid w:val="001D7709"/>
    <w:rsid w:val="001D7B6A"/>
    <w:rsid w:val="001F3228"/>
    <w:rsid w:val="001F388E"/>
    <w:rsid w:val="00200835"/>
    <w:rsid w:val="00200D72"/>
    <w:rsid w:val="00203F22"/>
    <w:rsid w:val="002105E4"/>
    <w:rsid w:val="002229D3"/>
    <w:rsid w:val="00223A1D"/>
    <w:rsid w:val="0023235C"/>
    <w:rsid w:val="00237015"/>
    <w:rsid w:val="00244692"/>
    <w:rsid w:val="00244FA0"/>
    <w:rsid w:val="0025054E"/>
    <w:rsid w:val="002535A7"/>
    <w:rsid w:val="00261190"/>
    <w:rsid w:val="00262AC2"/>
    <w:rsid w:val="00265816"/>
    <w:rsid w:val="00266BB1"/>
    <w:rsid w:val="0027467E"/>
    <w:rsid w:val="0027612C"/>
    <w:rsid w:val="00284859"/>
    <w:rsid w:val="00293089"/>
    <w:rsid w:val="00294C43"/>
    <w:rsid w:val="00295713"/>
    <w:rsid w:val="00295C18"/>
    <w:rsid w:val="00295C8A"/>
    <w:rsid w:val="002976C3"/>
    <w:rsid w:val="002A78EE"/>
    <w:rsid w:val="002B06F3"/>
    <w:rsid w:val="002B4627"/>
    <w:rsid w:val="002B6E21"/>
    <w:rsid w:val="002C0A90"/>
    <w:rsid w:val="002C4668"/>
    <w:rsid w:val="002D2A94"/>
    <w:rsid w:val="002E1A5D"/>
    <w:rsid w:val="002E250E"/>
    <w:rsid w:val="002E2A56"/>
    <w:rsid w:val="002E559D"/>
    <w:rsid w:val="002F022F"/>
    <w:rsid w:val="002F124F"/>
    <w:rsid w:val="002F14A2"/>
    <w:rsid w:val="002F3F9D"/>
    <w:rsid w:val="002F419C"/>
    <w:rsid w:val="002F68A1"/>
    <w:rsid w:val="0030058C"/>
    <w:rsid w:val="00300AF0"/>
    <w:rsid w:val="00301EC6"/>
    <w:rsid w:val="003049E5"/>
    <w:rsid w:val="003115EE"/>
    <w:rsid w:val="00311C3A"/>
    <w:rsid w:val="00314E14"/>
    <w:rsid w:val="0031760B"/>
    <w:rsid w:val="00320343"/>
    <w:rsid w:val="00321A60"/>
    <w:rsid w:val="0032349E"/>
    <w:rsid w:val="00330487"/>
    <w:rsid w:val="003314FE"/>
    <w:rsid w:val="0034286B"/>
    <w:rsid w:val="00343D51"/>
    <w:rsid w:val="0035223D"/>
    <w:rsid w:val="0037598E"/>
    <w:rsid w:val="0038589B"/>
    <w:rsid w:val="00386EBE"/>
    <w:rsid w:val="00390471"/>
    <w:rsid w:val="00392DE7"/>
    <w:rsid w:val="00393934"/>
    <w:rsid w:val="00394675"/>
    <w:rsid w:val="003A1E25"/>
    <w:rsid w:val="003A6469"/>
    <w:rsid w:val="003B236A"/>
    <w:rsid w:val="003B24E4"/>
    <w:rsid w:val="003B2BCD"/>
    <w:rsid w:val="003B597F"/>
    <w:rsid w:val="003B6DCC"/>
    <w:rsid w:val="003B7A5D"/>
    <w:rsid w:val="003C2507"/>
    <w:rsid w:val="003C3776"/>
    <w:rsid w:val="003D0398"/>
    <w:rsid w:val="003D0EA2"/>
    <w:rsid w:val="003D2313"/>
    <w:rsid w:val="003D43B3"/>
    <w:rsid w:val="003D4CD7"/>
    <w:rsid w:val="003E1C14"/>
    <w:rsid w:val="003E2C99"/>
    <w:rsid w:val="003E6719"/>
    <w:rsid w:val="003F0938"/>
    <w:rsid w:val="003F38B4"/>
    <w:rsid w:val="00402CA7"/>
    <w:rsid w:val="00403082"/>
    <w:rsid w:val="00404D24"/>
    <w:rsid w:val="004059E1"/>
    <w:rsid w:val="00405BE5"/>
    <w:rsid w:val="00407B81"/>
    <w:rsid w:val="00407C34"/>
    <w:rsid w:val="0041155F"/>
    <w:rsid w:val="00414A0A"/>
    <w:rsid w:val="00415E01"/>
    <w:rsid w:val="0042329A"/>
    <w:rsid w:val="00423512"/>
    <w:rsid w:val="00423956"/>
    <w:rsid w:val="004270C4"/>
    <w:rsid w:val="00431107"/>
    <w:rsid w:val="00432757"/>
    <w:rsid w:val="004352E5"/>
    <w:rsid w:val="00443075"/>
    <w:rsid w:val="00462F84"/>
    <w:rsid w:val="004664C4"/>
    <w:rsid w:val="00470867"/>
    <w:rsid w:val="00481DF9"/>
    <w:rsid w:val="00484490"/>
    <w:rsid w:val="0048498D"/>
    <w:rsid w:val="004863B9"/>
    <w:rsid w:val="00486A83"/>
    <w:rsid w:val="00491789"/>
    <w:rsid w:val="00495F7D"/>
    <w:rsid w:val="004A2905"/>
    <w:rsid w:val="004A2C07"/>
    <w:rsid w:val="004A58CF"/>
    <w:rsid w:val="004B131D"/>
    <w:rsid w:val="004B158B"/>
    <w:rsid w:val="004B160E"/>
    <w:rsid w:val="004B1F05"/>
    <w:rsid w:val="004B2FB4"/>
    <w:rsid w:val="004C3E89"/>
    <w:rsid w:val="004D4264"/>
    <w:rsid w:val="004E5AA6"/>
    <w:rsid w:val="004F1EE1"/>
    <w:rsid w:val="004F2C16"/>
    <w:rsid w:val="004F438C"/>
    <w:rsid w:val="004F5239"/>
    <w:rsid w:val="004F54E5"/>
    <w:rsid w:val="004F5835"/>
    <w:rsid w:val="004F6766"/>
    <w:rsid w:val="004F7D3A"/>
    <w:rsid w:val="00502FA8"/>
    <w:rsid w:val="00504915"/>
    <w:rsid w:val="00504982"/>
    <w:rsid w:val="0050629A"/>
    <w:rsid w:val="00507419"/>
    <w:rsid w:val="005113FF"/>
    <w:rsid w:val="00514AF0"/>
    <w:rsid w:val="00516D5F"/>
    <w:rsid w:val="005219F4"/>
    <w:rsid w:val="0053037E"/>
    <w:rsid w:val="00532833"/>
    <w:rsid w:val="0053361A"/>
    <w:rsid w:val="005364C3"/>
    <w:rsid w:val="005421CF"/>
    <w:rsid w:val="00544890"/>
    <w:rsid w:val="00546D67"/>
    <w:rsid w:val="005529CF"/>
    <w:rsid w:val="00553CDD"/>
    <w:rsid w:val="0055461B"/>
    <w:rsid w:val="005624E4"/>
    <w:rsid w:val="00570499"/>
    <w:rsid w:val="00570523"/>
    <w:rsid w:val="00574831"/>
    <w:rsid w:val="005A1B3A"/>
    <w:rsid w:val="005A59C0"/>
    <w:rsid w:val="005B0CE8"/>
    <w:rsid w:val="005B38DC"/>
    <w:rsid w:val="005B5E34"/>
    <w:rsid w:val="005B7693"/>
    <w:rsid w:val="005C258F"/>
    <w:rsid w:val="005C543D"/>
    <w:rsid w:val="005C5E1F"/>
    <w:rsid w:val="005C670B"/>
    <w:rsid w:val="005D0E00"/>
    <w:rsid w:val="005D274D"/>
    <w:rsid w:val="005D532E"/>
    <w:rsid w:val="005F58DD"/>
    <w:rsid w:val="005F5B46"/>
    <w:rsid w:val="005F7100"/>
    <w:rsid w:val="00602DE8"/>
    <w:rsid w:val="006103E5"/>
    <w:rsid w:val="00612ED5"/>
    <w:rsid w:val="006139DE"/>
    <w:rsid w:val="00614546"/>
    <w:rsid w:val="0061638C"/>
    <w:rsid w:val="00616EBF"/>
    <w:rsid w:val="006212CA"/>
    <w:rsid w:val="0062397A"/>
    <w:rsid w:val="00631B10"/>
    <w:rsid w:val="0063361D"/>
    <w:rsid w:val="006358AA"/>
    <w:rsid w:val="006376BA"/>
    <w:rsid w:val="00640549"/>
    <w:rsid w:val="00644F3F"/>
    <w:rsid w:val="00646003"/>
    <w:rsid w:val="00650E33"/>
    <w:rsid w:val="00655304"/>
    <w:rsid w:val="00655E8A"/>
    <w:rsid w:val="00660D1E"/>
    <w:rsid w:val="00665B2B"/>
    <w:rsid w:val="0066678B"/>
    <w:rsid w:val="0067366F"/>
    <w:rsid w:val="00675065"/>
    <w:rsid w:val="0067639D"/>
    <w:rsid w:val="00680EF0"/>
    <w:rsid w:val="0068300E"/>
    <w:rsid w:val="006838B0"/>
    <w:rsid w:val="00684D79"/>
    <w:rsid w:val="00691E4F"/>
    <w:rsid w:val="00692744"/>
    <w:rsid w:val="00693914"/>
    <w:rsid w:val="00694E90"/>
    <w:rsid w:val="006A78E7"/>
    <w:rsid w:val="006B4D3D"/>
    <w:rsid w:val="006B5540"/>
    <w:rsid w:val="006C08CE"/>
    <w:rsid w:val="006C247A"/>
    <w:rsid w:val="006C37E2"/>
    <w:rsid w:val="006D1659"/>
    <w:rsid w:val="006D3D5F"/>
    <w:rsid w:val="006D45B1"/>
    <w:rsid w:val="006D4EB3"/>
    <w:rsid w:val="006E285B"/>
    <w:rsid w:val="006E7C63"/>
    <w:rsid w:val="006F343D"/>
    <w:rsid w:val="006F44CF"/>
    <w:rsid w:val="006F6EF6"/>
    <w:rsid w:val="006F7589"/>
    <w:rsid w:val="00700F0E"/>
    <w:rsid w:val="007025E4"/>
    <w:rsid w:val="007043B6"/>
    <w:rsid w:val="00704B65"/>
    <w:rsid w:val="00716147"/>
    <w:rsid w:val="00721AE2"/>
    <w:rsid w:val="00722D8D"/>
    <w:rsid w:val="00727D21"/>
    <w:rsid w:val="007309D9"/>
    <w:rsid w:val="007329DA"/>
    <w:rsid w:val="007330AF"/>
    <w:rsid w:val="0073325F"/>
    <w:rsid w:val="0073643F"/>
    <w:rsid w:val="0073660F"/>
    <w:rsid w:val="00741D58"/>
    <w:rsid w:val="00741FF8"/>
    <w:rsid w:val="00744802"/>
    <w:rsid w:val="00745A45"/>
    <w:rsid w:val="00745FEA"/>
    <w:rsid w:val="00746E1D"/>
    <w:rsid w:val="00750500"/>
    <w:rsid w:val="00752724"/>
    <w:rsid w:val="007607F2"/>
    <w:rsid w:val="00760B7E"/>
    <w:rsid w:val="007675D1"/>
    <w:rsid w:val="00774F01"/>
    <w:rsid w:val="00775045"/>
    <w:rsid w:val="00776180"/>
    <w:rsid w:val="0077686B"/>
    <w:rsid w:val="00783071"/>
    <w:rsid w:val="0078652B"/>
    <w:rsid w:val="00794503"/>
    <w:rsid w:val="007960E7"/>
    <w:rsid w:val="007A6299"/>
    <w:rsid w:val="007A7A5D"/>
    <w:rsid w:val="007B6D05"/>
    <w:rsid w:val="007C6AEE"/>
    <w:rsid w:val="007C7634"/>
    <w:rsid w:val="007D7B73"/>
    <w:rsid w:val="007E6C70"/>
    <w:rsid w:val="007E6C76"/>
    <w:rsid w:val="007E795E"/>
    <w:rsid w:val="007F09C5"/>
    <w:rsid w:val="007F228C"/>
    <w:rsid w:val="007F445A"/>
    <w:rsid w:val="007F59FC"/>
    <w:rsid w:val="007F788A"/>
    <w:rsid w:val="008002D9"/>
    <w:rsid w:val="00812C81"/>
    <w:rsid w:val="0081486B"/>
    <w:rsid w:val="008208AD"/>
    <w:rsid w:val="00823EBA"/>
    <w:rsid w:val="0082539B"/>
    <w:rsid w:val="008274BB"/>
    <w:rsid w:val="00834305"/>
    <w:rsid w:val="00834E91"/>
    <w:rsid w:val="008364BD"/>
    <w:rsid w:val="0084074D"/>
    <w:rsid w:val="00844405"/>
    <w:rsid w:val="00846204"/>
    <w:rsid w:val="00850B86"/>
    <w:rsid w:val="00851211"/>
    <w:rsid w:val="00853BC3"/>
    <w:rsid w:val="00854791"/>
    <w:rsid w:val="00855551"/>
    <w:rsid w:val="00855BE6"/>
    <w:rsid w:val="008569B4"/>
    <w:rsid w:val="00864350"/>
    <w:rsid w:val="0086639D"/>
    <w:rsid w:val="008678B7"/>
    <w:rsid w:val="00867EFC"/>
    <w:rsid w:val="00874E0E"/>
    <w:rsid w:val="00880216"/>
    <w:rsid w:val="008815A1"/>
    <w:rsid w:val="00884B29"/>
    <w:rsid w:val="00884B30"/>
    <w:rsid w:val="0089762F"/>
    <w:rsid w:val="00897938"/>
    <w:rsid w:val="008A0FA3"/>
    <w:rsid w:val="008A2F8D"/>
    <w:rsid w:val="008A5080"/>
    <w:rsid w:val="008B0079"/>
    <w:rsid w:val="008B1084"/>
    <w:rsid w:val="008B1B7C"/>
    <w:rsid w:val="008B424C"/>
    <w:rsid w:val="008C12A9"/>
    <w:rsid w:val="008C5169"/>
    <w:rsid w:val="008C611D"/>
    <w:rsid w:val="008D1F94"/>
    <w:rsid w:val="008D2C0E"/>
    <w:rsid w:val="008E006B"/>
    <w:rsid w:val="008E0C05"/>
    <w:rsid w:val="008E0FB5"/>
    <w:rsid w:val="008E1AA9"/>
    <w:rsid w:val="008E2677"/>
    <w:rsid w:val="008E4EFB"/>
    <w:rsid w:val="008E5A8B"/>
    <w:rsid w:val="008F0A20"/>
    <w:rsid w:val="008F11E4"/>
    <w:rsid w:val="008F3CBF"/>
    <w:rsid w:val="008F4E22"/>
    <w:rsid w:val="008F6D61"/>
    <w:rsid w:val="00900C02"/>
    <w:rsid w:val="00906E60"/>
    <w:rsid w:val="00912929"/>
    <w:rsid w:val="00912D5C"/>
    <w:rsid w:val="0091328C"/>
    <w:rsid w:val="00913AA3"/>
    <w:rsid w:val="00915719"/>
    <w:rsid w:val="00916AAB"/>
    <w:rsid w:val="00917BB1"/>
    <w:rsid w:val="009253DA"/>
    <w:rsid w:val="009308C3"/>
    <w:rsid w:val="0093151A"/>
    <w:rsid w:val="00932127"/>
    <w:rsid w:val="009325BD"/>
    <w:rsid w:val="00935E26"/>
    <w:rsid w:val="009411C4"/>
    <w:rsid w:val="00941552"/>
    <w:rsid w:val="00942A2A"/>
    <w:rsid w:val="0094307E"/>
    <w:rsid w:val="00944078"/>
    <w:rsid w:val="0094516F"/>
    <w:rsid w:val="009514E5"/>
    <w:rsid w:val="00951DA1"/>
    <w:rsid w:val="00953598"/>
    <w:rsid w:val="0095466D"/>
    <w:rsid w:val="0096235A"/>
    <w:rsid w:val="00963BCD"/>
    <w:rsid w:val="00966AE5"/>
    <w:rsid w:val="00966C3F"/>
    <w:rsid w:val="00966C8F"/>
    <w:rsid w:val="00972CEF"/>
    <w:rsid w:val="00973F6E"/>
    <w:rsid w:val="009836AE"/>
    <w:rsid w:val="009849FB"/>
    <w:rsid w:val="009864FD"/>
    <w:rsid w:val="0099455D"/>
    <w:rsid w:val="0099711B"/>
    <w:rsid w:val="009A6E2A"/>
    <w:rsid w:val="009B0E60"/>
    <w:rsid w:val="009B23F7"/>
    <w:rsid w:val="009B3D09"/>
    <w:rsid w:val="009B5B38"/>
    <w:rsid w:val="009C44C5"/>
    <w:rsid w:val="009C6538"/>
    <w:rsid w:val="009C6D4D"/>
    <w:rsid w:val="009D1CC3"/>
    <w:rsid w:val="009D273C"/>
    <w:rsid w:val="009D3D9E"/>
    <w:rsid w:val="009D6B3C"/>
    <w:rsid w:val="009E2829"/>
    <w:rsid w:val="009E33EA"/>
    <w:rsid w:val="009F6A20"/>
    <w:rsid w:val="009F6D11"/>
    <w:rsid w:val="00A00B49"/>
    <w:rsid w:val="00A02097"/>
    <w:rsid w:val="00A02A1A"/>
    <w:rsid w:val="00A144FA"/>
    <w:rsid w:val="00A2551B"/>
    <w:rsid w:val="00A27B45"/>
    <w:rsid w:val="00A348C9"/>
    <w:rsid w:val="00A35109"/>
    <w:rsid w:val="00A3571B"/>
    <w:rsid w:val="00A42E03"/>
    <w:rsid w:val="00A46061"/>
    <w:rsid w:val="00A47CFB"/>
    <w:rsid w:val="00A547F3"/>
    <w:rsid w:val="00A54EA9"/>
    <w:rsid w:val="00A5588A"/>
    <w:rsid w:val="00A56EF1"/>
    <w:rsid w:val="00A60B22"/>
    <w:rsid w:val="00A61481"/>
    <w:rsid w:val="00A61E35"/>
    <w:rsid w:val="00A62C04"/>
    <w:rsid w:val="00A70CAC"/>
    <w:rsid w:val="00A74AA1"/>
    <w:rsid w:val="00A809B6"/>
    <w:rsid w:val="00A81EE1"/>
    <w:rsid w:val="00A824D9"/>
    <w:rsid w:val="00A84320"/>
    <w:rsid w:val="00A84D3B"/>
    <w:rsid w:val="00A85BC7"/>
    <w:rsid w:val="00A9042C"/>
    <w:rsid w:val="00A97CD9"/>
    <w:rsid w:val="00AA1A84"/>
    <w:rsid w:val="00AA43AF"/>
    <w:rsid w:val="00AA4D80"/>
    <w:rsid w:val="00AA65BE"/>
    <w:rsid w:val="00AB2A89"/>
    <w:rsid w:val="00AB2B48"/>
    <w:rsid w:val="00AC1547"/>
    <w:rsid w:val="00AC1826"/>
    <w:rsid w:val="00AC316B"/>
    <w:rsid w:val="00AC6E36"/>
    <w:rsid w:val="00AD13E7"/>
    <w:rsid w:val="00AD4931"/>
    <w:rsid w:val="00AD7C74"/>
    <w:rsid w:val="00AE5037"/>
    <w:rsid w:val="00AF3B13"/>
    <w:rsid w:val="00B05740"/>
    <w:rsid w:val="00B10C14"/>
    <w:rsid w:val="00B12A3A"/>
    <w:rsid w:val="00B16ACD"/>
    <w:rsid w:val="00B25E51"/>
    <w:rsid w:val="00B25EF1"/>
    <w:rsid w:val="00B266D2"/>
    <w:rsid w:val="00B307D2"/>
    <w:rsid w:val="00B308F6"/>
    <w:rsid w:val="00B31B7B"/>
    <w:rsid w:val="00B335ED"/>
    <w:rsid w:val="00B3667D"/>
    <w:rsid w:val="00B3711B"/>
    <w:rsid w:val="00B41C88"/>
    <w:rsid w:val="00B45B14"/>
    <w:rsid w:val="00B46DFE"/>
    <w:rsid w:val="00B501D6"/>
    <w:rsid w:val="00B62A17"/>
    <w:rsid w:val="00B64D03"/>
    <w:rsid w:val="00B67858"/>
    <w:rsid w:val="00B70D0C"/>
    <w:rsid w:val="00B752CB"/>
    <w:rsid w:val="00B763E0"/>
    <w:rsid w:val="00B77B4D"/>
    <w:rsid w:val="00B81388"/>
    <w:rsid w:val="00B83101"/>
    <w:rsid w:val="00B86336"/>
    <w:rsid w:val="00B86AF7"/>
    <w:rsid w:val="00B8765E"/>
    <w:rsid w:val="00B92F91"/>
    <w:rsid w:val="00B9440D"/>
    <w:rsid w:val="00B9694A"/>
    <w:rsid w:val="00BA09EB"/>
    <w:rsid w:val="00BA358F"/>
    <w:rsid w:val="00BA3C58"/>
    <w:rsid w:val="00BB0569"/>
    <w:rsid w:val="00BB3BAB"/>
    <w:rsid w:val="00BC26D4"/>
    <w:rsid w:val="00BC5126"/>
    <w:rsid w:val="00BD0416"/>
    <w:rsid w:val="00BD2C97"/>
    <w:rsid w:val="00BD2D84"/>
    <w:rsid w:val="00BD50FC"/>
    <w:rsid w:val="00BD547B"/>
    <w:rsid w:val="00BE121C"/>
    <w:rsid w:val="00BF135E"/>
    <w:rsid w:val="00BF17DF"/>
    <w:rsid w:val="00BF4037"/>
    <w:rsid w:val="00BF61ED"/>
    <w:rsid w:val="00BF6B0A"/>
    <w:rsid w:val="00C05A3D"/>
    <w:rsid w:val="00C22158"/>
    <w:rsid w:val="00C26599"/>
    <w:rsid w:val="00C27AF0"/>
    <w:rsid w:val="00C27B1A"/>
    <w:rsid w:val="00C27B46"/>
    <w:rsid w:val="00C36482"/>
    <w:rsid w:val="00C5782B"/>
    <w:rsid w:val="00C6582C"/>
    <w:rsid w:val="00C70311"/>
    <w:rsid w:val="00C7171F"/>
    <w:rsid w:val="00C71FE8"/>
    <w:rsid w:val="00C7386A"/>
    <w:rsid w:val="00C76964"/>
    <w:rsid w:val="00C803B8"/>
    <w:rsid w:val="00C81F15"/>
    <w:rsid w:val="00C82CC6"/>
    <w:rsid w:val="00C97DD2"/>
    <w:rsid w:val="00CA28AA"/>
    <w:rsid w:val="00CB0C5E"/>
    <w:rsid w:val="00CB64EB"/>
    <w:rsid w:val="00CB7273"/>
    <w:rsid w:val="00CC0D67"/>
    <w:rsid w:val="00CC1161"/>
    <w:rsid w:val="00CC62D3"/>
    <w:rsid w:val="00CD173D"/>
    <w:rsid w:val="00CD2EA8"/>
    <w:rsid w:val="00CD35F7"/>
    <w:rsid w:val="00CD5083"/>
    <w:rsid w:val="00CE6323"/>
    <w:rsid w:val="00CF0AE9"/>
    <w:rsid w:val="00CF5627"/>
    <w:rsid w:val="00CF6893"/>
    <w:rsid w:val="00D00A48"/>
    <w:rsid w:val="00D00D1D"/>
    <w:rsid w:val="00D01D0C"/>
    <w:rsid w:val="00D03F1B"/>
    <w:rsid w:val="00D04732"/>
    <w:rsid w:val="00D1607A"/>
    <w:rsid w:val="00D17BC3"/>
    <w:rsid w:val="00D213F3"/>
    <w:rsid w:val="00D22D81"/>
    <w:rsid w:val="00D2353D"/>
    <w:rsid w:val="00D23A6D"/>
    <w:rsid w:val="00D278AB"/>
    <w:rsid w:val="00D35D81"/>
    <w:rsid w:val="00D54AB8"/>
    <w:rsid w:val="00D56DB8"/>
    <w:rsid w:val="00D60B89"/>
    <w:rsid w:val="00D65FE2"/>
    <w:rsid w:val="00D66646"/>
    <w:rsid w:val="00D66F3A"/>
    <w:rsid w:val="00D709D1"/>
    <w:rsid w:val="00D71F29"/>
    <w:rsid w:val="00D7284E"/>
    <w:rsid w:val="00D74643"/>
    <w:rsid w:val="00D7557F"/>
    <w:rsid w:val="00D8240C"/>
    <w:rsid w:val="00D85194"/>
    <w:rsid w:val="00D8633D"/>
    <w:rsid w:val="00D90E18"/>
    <w:rsid w:val="00D93769"/>
    <w:rsid w:val="00D94865"/>
    <w:rsid w:val="00D97620"/>
    <w:rsid w:val="00DA7CA1"/>
    <w:rsid w:val="00DB0120"/>
    <w:rsid w:val="00DB03D2"/>
    <w:rsid w:val="00DB135B"/>
    <w:rsid w:val="00DB3DEA"/>
    <w:rsid w:val="00DB47E1"/>
    <w:rsid w:val="00DC2EEF"/>
    <w:rsid w:val="00DD0CFD"/>
    <w:rsid w:val="00DD2D5D"/>
    <w:rsid w:val="00DD655E"/>
    <w:rsid w:val="00DD7B28"/>
    <w:rsid w:val="00DE34A4"/>
    <w:rsid w:val="00DE62A0"/>
    <w:rsid w:val="00DE7937"/>
    <w:rsid w:val="00DF01D6"/>
    <w:rsid w:val="00DF3F99"/>
    <w:rsid w:val="00DF6682"/>
    <w:rsid w:val="00E011BE"/>
    <w:rsid w:val="00E05770"/>
    <w:rsid w:val="00E15792"/>
    <w:rsid w:val="00E20CCF"/>
    <w:rsid w:val="00E2375E"/>
    <w:rsid w:val="00E260FC"/>
    <w:rsid w:val="00E30D02"/>
    <w:rsid w:val="00E32369"/>
    <w:rsid w:val="00E34CDF"/>
    <w:rsid w:val="00E36F7B"/>
    <w:rsid w:val="00E414DF"/>
    <w:rsid w:val="00E45F5F"/>
    <w:rsid w:val="00E52554"/>
    <w:rsid w:val="00E52F8D"/>
    <w:rsid w:val="00E5464E"/>
    <w:rsid w:val="00E60398"/>
    <w:rsid w:val="00E6064C"/>
    <w:rsid w:val="00E66232"/>
    <w:rsid w:val="00E66CEC"/>
    <w:rsid w:val="00E675B7"/>
    <w:rsid w:val="00E67804"/>
    <w:rsid w:val="00E67D27"/>
    <w:rsid w:val="00E7343D"/>
    <w:rsid w:val="00E739E1"/>
    <w:rsid w:val="00E74A9D"/>
    <w:rsid w:val="00E76702"/>
    <w:rsid w:val="00E77029"/>
    <w:rsid w:val="00E778C8"/>
    <w:rsid w:val="00E77E33"/>
    <w:rsid w:val="00E86790"/>
    <w:rsid w:val="00E87788"/>
    <w:rsid w:val="00EA18EB"/>
    <w:rsid w:val="00EA20C9"/>
    <w:rsid w:val="00EA45B7"/>
    <w:rsid w:val="00EA4B65"/>
    <w:rsid w:val="00EB13F7"/>
    <w:rsid w:val="00EB16F2"/>
    <w:rsid w:val="00EB6E65"/>
    <w:rsid w:val="00EC35F6"/>
    <w:rsid w:val="00EC5868"/>
    <w:rsid w:val="00ED1FAF"/>
    <w:rsid w:val="00ED408B"/>
    <w:rsid w:val="00ED6A75"/>
    <w:rsid w:val="00EF03C7"/>
    <w:rsid w:val="00EF0736"/>
    <w:rsid w:val="00EF0D7B"/>
    <w:rsid w:val="00EF28ED"/>
    <w:rsid w:val="00F130ED"/>
    <w:rsid w:val="00F1398E"/>
    <w:rsid w:val="00F1591B"/>
    <w:rsid w:val="00F15B45"/>
    <w:rsid w:val="00F1725F"/>
    <w:rsid w:val="00F20DEB"/>
    <w:rsid w:val="00F221EB"/>
    <w:rsid w:val="00F22A32"/>
    <w:rsid w:val="00F2314C"/>
    <w:rsid w:val="00F31BE8"/>
    <w:rsid w:val="00F32017"/>
    <w:rsid w:val="00F354FE"/>
    <w:rsid w:val="00F37380"/>
    <w:rsid w:val="00F409AF"/>
    <w:rsid w:val="00F42D65"/>
    <w:rsid w:val="00F44115"/>
    <w:rsid w:val="00F4449D"/>
    <w:rsid w:val="00F45D8C"/>
    <w:rsid w:val="00F50815"/>
    <w:rsid w:val="00F54D5C"/>
    <w:rsid w:val="00F56606"/>
    <w:rsid w:val="00F56639"/>
    <w:rsid w:val="00F64123"/>
    <w:rsid w:val="00F679A0"/>
    <w:rsid w:val="00F72DDB"/>
    <w:rsid w:val="00F72E69"/>
    <w:rsid w:val="00F7412E"/>
    <w:rsid w:val="00F770E2"/>
    <w:rsid w:val="00F81300"/>
    <w:rsid w:val="00F8683E"/>
    <w:rsid w:val="00F8782B"/>
    <w:rsid w:val="00F9146B"/>
    <w:rsid w:val="00FA3263"/>
    <w:rsid w:val="00FA5C8C"/>
    <w:rsid w:val="00FB04E8"/>
    <w:rsid w:val="00FB074B"/>
    <w:rsid w:val="00FB2749"/>
    <w:rsid w:val="00FB518F"/>
    <w:rsid w:val="00FB6382"/>
    <w:rsid w:val="00FB729C"/>
    <w:rsid w:val="00FB7E4D"/>
    <w:rsid w:val="00FC14C7"/>
    <w:rsid w:val="00FC1860"/>
    <w:rsid w:val="00FC1E09"/>
    <w:rsid w:val="00FC3A24"/>
    <w:rsid w:val="00FC3D1B"/>
    <w:rsid w:val="00FC466E"/>
    <w:rsid w:val="00FC7026"/>
    <w:rsid w:val="00FD3366"/>
    <w:rsid w:val="00FD3D95"/>
    <w:rsid w:val="00FD45A4"/>
    <w:rsid w:val="00FD7DBB"/>
    <w:rsid w:val="00FF027B"/>
    <w:rsid w:val="00FF151B"/>
    <w:rsid w:val="00FF2670"/>
    <w:rsid w:val="00FF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EA3D67FE-45CA-4DF7-B3E0-B91D98F9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929"/>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ED1FAF"/>
    <w:pPr>
      <w:keepNext/>
      <w:spacing w:before="240" w:after="60"/>
      <w:outlineLvl w:val="0"/>
    </w:pPr>
    <w:rPr>
      <w:b/>
      <w:kern w:val="28"/>
      <w:sz w:val="28"/>
    </w:rPr>
  </w:style>
  <w:style w:type="paragraph" w:styleId="Heading2">
    <w:name w:val="heading 2"/>
    <w:basedOn w:val="Normal"/>
    <w:next w:val="Normal"/>
    <w:qFormat/>
    <w:rsid w:val="00ED1FAF"/>
    <w:pPr>
      <w:keepNext/>
      <w:spacing w:after="120"/>
      <w:jc w:val="center"/>
      <w:outlineLvl w:val="1"/>
    </w:pPr>
    <w:rPr>
      <w:b/>
      <w:i/>
      <w:sz w:val="28"/>
    </w:rPr>
  </w:style>
  <w:style w:type="paragraph" w:styleId="Heading3">
    <w:name w:val="heading 3"/>
    <w:aliases w:val="H3-Sec. Head"/>
    <w:basedOn w:val="Normal"/>
    <w:next w:val="Normal"/>
    <w:link w:val="Heading3Char"/>
    <w:unhideWhenUsed/>
    <w:qFormat/>
    <w:rsid w:val="00196809"/>
    <w:pPr>
      <w:keepNext/>
      <w:spacing w:before="240" w:after="60"/>
      <w:outlineLvl w:val="2"/>
    </w:pPr>
    <w:rPr>
      <w:rFonts w:eastAsiaTheme="majorEastAsia" w:cstheme="majorBidi"/>
      <w:b/>
      <w:bCs/>
      <w:szCs w:val="26"/>
    </w:rPr>
  </w:style>
  <w:style w:type="character" w:default="1" w:styleId="DefaultParagraphFont">
    <w:name w:val="Default Paragraph Font"/>
    <w:uiPriority w:val="1"/>
    <w:semiHidden/>
    <w:unhideWhenUsed/>
    <w:rsid w:val="009129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2929"/>
  </w:style>
  <w:style w:type="paragraph" w:styleId="Date">
    <w:name w:val="Date"/>
    <w:basedOn w:val="Normal"/>
    <w:next w:val="Normal"/>
    <w:rsid w:val="00ED1FAF"/>
  </w:style>
  <w:style w:type="paragraph" w:customStyle="1" w:styleId="Body">
    <w:name w:val="Body"/>
    <w:link w:val="BodyChar"/>
    <w:rsid w:val="00196809"/>
    <w:pPr>
      <w:spacing w:before="180"/>
    </w:pPr>
    <w:rPr>
      <w:rFonts w:ascii="Arial" w:hAnsi="Arial"/>
      <w:szCs w:val="24"/>
    </w:rPr>
  </w:style>
  <w:style w:type="paragraph" w:customStyle="1" w:styleId="StdText">
    <w:name w:val="Std Text"/>
    <w:basedOn w:val="Body"/>
    <w:rsid w:val="00ED1FAF"/>
    <w:rPr>
      <w:b/>
    </w:rPr>
  </w:style>
  <w:style w:type="paragraph" w:customStyle="1" w:styleId="StdIndent1">
    <w:name w:val="Std Indent 1"/>
    <w:basedOn w:val="StdText"/>
    <w:rsid w:val="00ED1FAF"/>
    <w:pPr>
      <w:ind w:left="1714" w:hanging="994"/>
    </w:pPr>
  </w:style>
  <w:style w:type="paragraph" w:customStyle="1" w:styleId="StdIndent2">
    <w:name w:val="Std Indent 2"/>
    <w:basedOn w:val="StdIndent1"/>
    <w:rsid w:val="00ED1FAF"/>
    <w:pPr>
      <w:ind w:left="2880" w:hanging="1166"/>
    </w:pPr>
  </w:style>
  <w:style w:type="paragraph" w:customStyle="1" w:styleId="SectionHead">
    <w:name w:val="Section Head"/>
    <w:basedOn w:val="Heading1"/>
    <w:rsid w:val="00ED1FAF"/>
    <w:pPr>
      <w:spacing w:before="0" w:after="240"/>
      <w:jc w:val="center"/>
    </w:pPr>
    <w:rPr>
      <w:sz w:val="32"/>
    </w:rPr>
  </w:style>
  <w:style w:type="paragraph" w:customStyle="1" w:styleId="StdTitle">
    <w:name w:val="Std Title"/>
    <w:basedOn w:val="SectionHead"/>
    <w:rsid w:val="00ED1FAF"/>
    <w:pPr>
      <w:tabs>
        <w:tab w:val="right" w:pos="9720"/>
      </w:tabs>
      <w:spacing w:after="0"/>
      <w:jc w:val="left"/>
    </w:pPr>
    <w:rPr>
      <w:sz w:val="28"/>
    </w:rPr>
  </w:style>
  <w:style w:type="paragraph" w:customStyle="1" w:styleId="MainHead">
    <w:name w:val="Main Head"/>
    <w:basedOn w:val="StdTitle"/>
    <w:rsid w:val="00ED1FAF"/>
    <w:pPr>
      <w:keepNext w:val="0"/>
      <w:pBdr>
        <w:bottom w:val="single" w:sz="12" w:space="1" w:color="auto"/>
      </w:pBdr>
      <w:spacing w:before="240"/>
      <w:outlineLvl w:val="2"/>
    </w:pPr>
    <w:rPr>
      <w:sz w:val="24"/>
    </w:rPr>
  </w:style>
  <w:style w:type="paragraph" w:customStyle="1" w:styleId="SubHead">
    <w:name w:val="Sub Head"/>
    <w:rsid w:val="00196809"/>
    <w:pPr>
      <w:pBdr>
        <w:bottom w:val="single" w:sz="6" w:space="2" w:color="auto"/>
      </w:pBdr>
      <w:spacing w:before="360"/>
    </w:pPr>
    <w:rPr>
      <w:rFonts w:ascii="Arial" w:hAnsi="Arial"/>
      <w:b/>
      <w:sz w:val="22"/>
      <w:szCs w:val="24"/>
    </w:rPr>
  </w:style>
  <w:style w:type="paragraph" w:customStyle="1" w:styleId="ElementHead">
    <w:name w:val="Element Head"/>
    <w:basedOn w:val="MainHead"/>
    <w:rsid w:val="00ED1FAF"/>
    <w:pPr>
      <w:pBdr>
        <w:bottom w:val="none" w:sz="0" w:space="0" w:color="auto"/>
      </w:pBdr>
      <w:spacing w:before="180"/>
    </w:pPr>
    <w:rPr>
      <w:i/>
      <w:sz w:val="20"/>
    </w:rPr>
  </w:style>
  <w:style w:type="paragraph" w:customStyle="1" w:styleId="Bullet">
    <w:name w:val="Bullet"/>
    <w:rsid w:val="00196809"/>
    <w:pPr>
      <w:numPr>
        <w:numId w:val="7"/>
      </w:numPr>
      <w:spacing w:before="120"/>
      <w:ind w:left="576"/>
    </w:pPr>
    <w:rPr>
      <w:rFonts w:ascii="Arial" w:hAnsi="Arial"/>
      <w:szCs w:val="24"/>
    </w:rPr>
  </w:style>
  <w:style w:type="character" w:styleId="LineNumber">
    <w:name w:val="line number"/>
    <w:basedOn w:val="DefaultParagraphFont"/>
    <w:rsid w:val="00ED1FAF"/>
  </w:style>
  <w:style w:type="paragraph" w:customStyle="1" w:styleId="Dash">
    <w:name w:val="Dash"/>
    <w:rsid w:val="00196809"/>
    <w:pPr>
      <w:numPr>
        <w:numId w:val="8"/>
      </w:numPr>
      <w:spacing w:before="60"/>
    </w:pPr>
    <w:rPr>
      <w:rFonts w:ascii="Arial" w:hAnsi="Arial"/>
      <w:szCs w:val="24"/>
    </w:rPr>
  </w:style>
  <w:style w:type="paragraph" w:customStyle="1" w:styleId="ProcessBullet">
    <w:name w:val="Process Bullet"/>
    <w:link w:val="ProcessBulletChar"/>
    <w:rsid w:val="00196809"/>
    <w:pPr>
      <w:numPr>
        <w:numId w:val="11"/>
      </w:numPr>
      <w:spacing w:before="120"/>
    </w:pPr>
    <w:rPr>
      <w:rFonts w:ascii="Arial" w:hAnsi="Arial"/>
      <w:szCs w:val="24"/>
    </w:rPr>
  </w:style>
  <w:style w:type="paragraph" w:customStyle="1" w:styleId="ProcessDash">
    <w:name w:val="Process Dash"/>
    <w:rsid w:val="00196809"/>
    <w:pPr>
      <w:numPr>
        <w:numId w:val="12"/>
      </w:numPr>
      <w:tabs>
        <w:tab w:val="clear" w:pos="432"/>
        <w:tab w:val="left" w:pos="216"/>
      </w:tabs>
      <w:spacing w:before="60"/>
    </w:pPr>
    <w:rPr>
      <w:rFonts w:ascii="Arial" w:hAnsi="Arial"/>
      <w:szCs w:val="24"/>
    </w:rPr>
  </w:style>
  <w:style w:type="paragraph" w:customStyle="1" w:styleId="ScoringGuideline">
    <w:name w:val="Scoring Guideline"/>
    <w:basedOn w:val="Heading1"/>
    <w:rsid w:val="00ED1FAF"/>
    <w:pPr>
      <w:spacing w:before="0" w:after="120"/>
      <w:jc w:val="center"/>
    </w:pPr>
    <w:rPr>
      <w:smallCaps/>
    </w:rPr>
  </w:style>
  <w:style w:type="paragraph" w:customStyle="1" w:styleId="TableText">
    <w:name w:val="Table Text"/>
    <w:qFormat/>
    <w:rsid w:val="00196809"/>
    <w:pPr>
      <w:spacing w:before="40" w:after="40" w:line="200" w:lineRule="exact"/>
    </w:pPr>
    <w:rPr>
      <w:rFonts w:ascii="Arial Narrow" w:hAnsi="Arial Narrow"/>
      <w:szCs w:val="19"/>
    </w:rPr>
  </w:style>
  <w:style w:type="paragraph" w:customStyle="1" w:styleId="TableBullet">
    <w:name w:val="Table Bullet"/>
    <w:qFormat/>
    <w:rsid w:val="00196809"/>
    <w:pPr>
      <w:numPr>
        <w:numId w:val="9"/>
      </w:numPr>
      <w:tabs>
        <w:tab w:val="clear" w:pos="216"/>
      </w:tabs>
      <w:spacing w:before="40" w:after="40" w:line="200" w:lineRule="exact"/>
      <w:ind w:left="158" w:hanging="158"/>
    </w:pPr>
    <w:rPr>
      <w:rFonts w:ascii="Arial Narrow" w:hAnsi="Arial Narrow"/>
      <w:szCs w:val="24"/>
    </w:rPr>
  </w:style>
  <w:style w:type="paragraph" w:styleId="Header">
    <w:name w:val="header"/>
    <w:rsid w:val="00196809"/>
    <w:pPr>
      <w:pBdr>
        <w:bottom w:val="single" w:sz="6" w:space="1" w:color="auto"/>
      </w:pBdr>
      <w:tabs>
        <w:tab w:val="right" w:pos="8640"/>
        <w:tab w:val="right" w:pos="9360"/>
      </w:tabs>
      <w:spacing w:before="120" w:after="360"/>
    </w:pPr>
    <w:rPr>
      <w:rFonts w:ascii="Arial" w:hAnsi="Arial"/>
      <w:b/>
      <w:i/>
      <w:szCs w:val="24"/>
    </w:rPr>
  </w:style>
  <w:style w:type="paragraph" w:styleId="Footer">
    <w:name w:val="footer"/>
    <w:basedOn w:val="Normal"/>
    <w:link w:val="FooterChar"/>
    <w:rsid w:val="00196809"/>
    <w:pPr>
      <w:pBdr>
        <w:top w:val="single" w:sz="8" w:space="1" w:color="auto"/>
      </w:pBdr>
      <w:tabs>
        <w:tab w:val="right" w:pos="9360"/>
      </w:tabs>
      <w:spacing w:before="240" w:line="260" w:lineRule="exact"/>
    </w:pPr>
    <w:rPr>
      <w:b/>
      <w:szCs w:val="20"/>
    </w:rPr>
  </w:style>
  <w:style w:type="paragraph" w:customStyle="1" w:styleId="StandardTitle">
    <w:name w:val="Standard Title"/>
    <w:basedOn w:val="MainHead"/>
    <w:rsid w:val="00ED1FAF"/>
    <w:pPr>
      <w:pBdr>
        <w:bottom w:val="none" w:sz="0" w:space="0" w:color="auto"/>
      </w:pBdr>
      <w:spacing w:before="0"/>
    </w:pPr>
    <w:rPr>
      <w:sz w:val="28"/>
    </w:rPr>
  </w:style>
  <w:style w:type="paragraph" w:customStyle="1" w:styleId="TableHead">
    <w:name w:val="Table Head"/>
    <w:rsid w:val="00196809"/>
    <w:pPr>
      <w:spacing w:before="40" w:after="40" w:line="200" w:lineRule="exact"/>
      <w:jc w:val="center"/>
    </w:pPr>
    <w:rPr>
      <w:rFonts w:ascii="Arial Narrow Bold" w:hAnsi="Arial Narrow"/>
      <w:b/>
      <w:color w:val="FFFFFF"/>
    </w:rPr>
  </w:style>
  <w:style w:type="paragraph" w:customStyle="1" w:styleId="MoreInfo">
    <w:name w:val="More Info"/>
    <w:basedOn w:val="Normal"/>
    <w:rsid w:val="00ED1FAF"/>
    <w:pPr>
      <w:spacing w:before="240"/>
      <w:jc w:val="center"/>
    </w:pPr>
    <w:rPr>
      <w:b/>
      <w:i/>
    </w:rPr>
  </w:style>
  <w:style w:type="paragraph" w:customStyle="1" w:styleId="Note">
    <w:name w:val="Note"/>
    <w:rsid w:val="00196809"/>
    <w:pPr>
      <w:spacing w:before="120"/>
    </w:pPr>
    <w:rPr>
      <w:rFonts w:ascii="Arial" w:hAnsi="Arial"/>
      <w:i/>
      <w:szCs w:val="24"/>
    </w:rPr>
  </w:style>
  <w:style w:type="paragraph" w:customStyle="1" w:styleId="StdIndent3">
    <w:name w:val="Std Indent 3"/>
    <w:basedOn w:val="StdIndent2"/>
    <w:rsid w:val="00ED1FAF"/>
    <w:pPr>
      <w:ind w:left="4046"/>
    </w:pPr>
  </w:style>
  <w:style w:type="paragraph" w:customStyle="1" w:styleId="TableText2">
    <w:name w:val="Table Text 2"/>
    <w:basedOn w:val="TableText"/>
    <w:rsid w:val="00ED1FAF"/>
  </w:style>
  <w:style w:type="paragraph" w:customStyle="1" w:styleId="StdIndent4">
    <w:name w:val="Std Indent 4"/>
    <w:basedOn w:val="StdIndent3"/>
    <w:rsid w:val="00ED1FAF"/>
    <w:pPr>
      <w:ind w:left="5400" w:hanging="1354"/>
    </w:pPr>
  </w:style>
  <w:style w:type="paragraph" w:customStyle="1" w:styleId="IndentBullet">
    <w:name w:val="Indent Bullet"/>
    <w:basedOn w:val="Body"/>
    <w:rsid w:val="00ED1FAF"/>
    <w:pPr>
      <w:spacing w:before="20" w:after="20"/>
      <w:ind w:left="993" w:hanging="187"/>
    </w:pPr>
  </w:style>
  <w:style w:type="paragraph" w:customStyle="1" w:styleId="TableHead2">
    <w:name w:val="Table Head 2"/>
    <w:basedOn w:val="TableHead"/>
    <w:rsid w:val="00ED1FAF"/>
    <w:pPr>
      <w:spacing w:line="220" w:lineRule="exact"/>
    </w:pPr>
  </w:style>
  <w:style w:type="paragraph" w:customStyle="1" w:styleId="TableBullet2">
    <w:name w:val="Table Bullet 2"/>
    <w:basedOn w:val="TableText2"/>
    <w:rsid w:val="00ED1FAF"/>
    <w:pPr>
      <w:ind w:left="158" w:hanging="158"/>
    </w:pPr>
  </w:style>
  <w:style w:type="paragraph" w:customStyle="1" w:styleId="Style1">
    <w:name w:val="Style1"/>
    <w:basedOn w:val="TableBullet2"/>
    <w:rsid w:val="00ED1FAF"/>
  </w:style>
  <w:style w:type="character" w:styleId="FootnoteReference">
    <w:name w:val="footnote reference"/>
    <w:basedOn w:val="DefaultParagraphFont"/>
    <w:semiHidden/>
    <w:rsid w:val="00ED1FAF"/>
    <w:rPr>
      <w:vertAlign w:val="superscript"/>
    </w:rPr>
  </w:style>
  <w:style w:type="character" w:styleId="Hyperlink">
    <w:name w:val="Hyperlink"/>
    <w:basedOn w:val="DefaultParagraphFont"/>
    <w:rsid w:val="00ED1FAF"/>
    <w:rPr>
      <w:color w:val="0000FF"/>
      <w:u w:val="single"/>
    </w:rPr>
  </w:style>
  <w:style w:type="paragraph" w:styleId="FootnoteText">
    <w:name w:val="footnote text"/>
    <w:basedOn w:val="Normal"/>
    <w:semiHidden/>
    <w:rsid w:val="00ED1FAF"/>
    <w:pPr>
      <w:spacing w:before="120" w:after="120"/>
    </w:pPr>
  </w:style>
  <w:style w:type="character" w:styleId="PageNumber">
    <w:name w:val="page number"/>
    <w:basedOn w:val="DefaultParagraphFont"/>
    <w:rsid w:val="00ED1FAF"/>
  </w:style>
  <w:style w:type="paragraph" w:customStyle="1" w:styleId="ElementNumber">
    <w:name w:val="Element Number"/>
    <w:basedOn w:val="Body"/>
    <w:rsid w:val="00ED1FAF"/>
    <w:pPr>
      <w:ind w:left="720" w:hanging="360"/>
    </w:pPr>
    <w:rPr>
      <w:b/>
    </w:rPr>
  </w:style>
  <w:style w:type="paragraph" w:customStyle="1" w:styleId="StdHead">
    <w:name w:val="Std Head"/>
    <w:rsid w:val="00196809"/>
    <w:pPr>
      <w:pBdr>
        <w:top w:val="single" w:sz="6" w:space="2" w:color="auto"/>
        <w:left w:val="single" w:sz="6" w:space="2" w:color="auto"/>
        <w:bottom w:val="single" w:sz="6" w:space="2" w:color="auto"/>
        <w:right w:val="single" w:sz="6" w:space="2" w:color="auto"/>
      </w:pBdr>
      <w:shd w:val="clear" w:color="auto" w:fill="000000"/>
      <w:spacing w:before="360"/>
    </w:pPr>
    <w:rPr>
      <w:rFonts w:ascii="Arial" w:hAnsi="Arial"/>
      <w:b/>
      <w:color w:val="FFFFFF"/>
      <w:sz w:val="22"/>
      <w:szCs w:val="28"/>
    </w:rPr>
  </w:style>
  <w:style w:type="paragraph" w:customStyle="1" w:styleId="MarginHead">
    <w:name w:val="Margin Head"/>
    <w:rsid w:val="00196809"/>
    <w:pPr>
      <w:spacing w:before="180"/>
    </w:pPr>
    <w:rPr>
      <w:rFonts w:ascii="Arial" w:hAnsi="Arial"/>
      <w:b/>
      <w:sz w:val="22"/>
      <w:szCs w:val="24"/>
    </w:rPr>
  </w:style>
  <w:style w:type="paragraph" w:customStyle="1" w:styleId="MarginSubhead">
    <w:name w:val="Margin Subhead"/>
    <w:rsid w:val="00196809"/>
    <w:pPr>
      <w:spacing w:before="180"/>
      <w:ind w:left="216"/>
    </w:pPr>
    <w:rPr>
      <w:rFonts w:ascii="Arial" w:hAnsi="Arial"/>
      <w:b/>
      <w:szCs w:val="24"/>
    </w:rPr>
  </w:style>
  <w:style w:type="paragraph" w:customStyle="1" w:styleId="StdHead1">
    <w:name w:val="Std Head 1"/>
    <w:basedOn w:val="MainHead"/>
    <w:rsid w:val="00ED1FAF"/>
    <w:pPr>
      <w:pBdr>
        <w:bottom w:val="none" w:sz="0" w:space="0" w:color="auto"/>
      </w:pBdr>
      <w:shd w:val="clear" w:color="auto" w:fill="000000"/>
      <w:spacing w:before="360"/>
    </w:pPr>
    <w:rPr>
      <w:color w:val="FFFFFF"/>
    </w:rPr>
  </w:style>
  <w:style w:type="paragraph" w:styleId="BodyText">
    <w:name w:val="Body Text"/>
    <w:basedOn w:val="Normal"/>
    <w:link w:val="BodyTextChar"/>
    <w:rsid w:val="00ED1FAF"/>
  </w:style>
  <w:style w:type="character" w:customStyle="1" w:styleId="italics">
    <w:name w:val="italics"/>
    <w:basedOn w:val="DefaultParagraphFont"/>
    <w:rsid w:val="00ED1FAF"/>
    <w:rPr>
      <w:i/>
      <w:sz w:val="24"/>
    </w:rPr>
  </w:style>
  <w:style w:type="paragraph" w:styleId="BalloonText">
    <w:name w:val="Balloon Text"/>
    <w:basedOn w:val="Normal"/>
    <w:semiHidden/>
    <w:rsid w:val="00ED1FAF"/>
    <w:rPr>
      <w:rFonts w:ascii="Tahoma" w:hAnsi="Tahoma" w:cs="Tahoma"/>
      <w:sz w:val="16"/>
      <w:szCs w:val="16"/>
    </w:rPr>
  </w:style>
  <w:style w:type="character" w:customStyle="1" w:styleId="Heading3Char">
    <w:name w:val="Heading 3 Char"/>
    <w:aliases w:val="H3-Sec. Head Char"/>
    <w:basedOn w:val="DefaultParagraphFont"/>
    <w:link w:val="Heading3"/>
    <w:rsid w:val="00196809"/>
    <w:rPr>
      <w:rFonts w:ascii="Arial" w:eastAsiaTheme="majorEastAsia" w:hAnsi="Arial" w:cstheme="majorBidi"/>
      <w:b/>
      <w:bCs/>
      <w:sz w:val="22"/>
      <w:szCs w:val="26"/>
    </w:rPr>
  </w:style>
  <w:style w:type="paragraph" w:styleId="BodyText2">
    <w:name w:val="Body Text 2"/>
    <w:basedOn w:val="Normal"/>
    <w:rsid w:val="00ED1FAF"/>
    <w:rPr>
      <w:b/>
      <w:bCs/>
      <w:color w:val="000000"/>
    </w:rPr>
  </w:style>
  <w:style w:type="paragraph" w:styleId="BodyText3">
    <w:name w:val="Body Text 3"/>
    <w:basedOn w:val="Normal"/>
    <w:rsid w:val="00ED1FAF"/>
    <w:pPr>
      <w:jc w:val="center"/>
    </w:pPr>
  </w:style>
  <w:style w:type="character" w:styleId="CommentReference">
    <w:name w:val="annotation reference"/>
    <w:basedOn w:val="DefaultParagraphFont"/>
    <w:semiHidden/>
    <w:rsid w:val="003D2313"/>
    <w:rPr>
      <w:sz w:val="16"/>
      <w:szCs w:val="16"/>
    </w:rPr>
  </w:style>
  <w:style w:type="paragraph" w:styleId="CommentText">
    <w:name w:val="annotation text"/>
    <w:basedOn w:val="Normal"/>
    <w:link w:val="CommentTextChar"/>
    <w:semiHidden/>
    <w:rsid w:val="003D2313"/>
  </w:style>
  <w:style w:type="paragraph" w:styleId="CommentSubject">
    <w:name w:val="annotation subject"/>
    <w:basedOn w:val="CommentText"/>
    <w:next w:val="CommentText"/>
    <w:semiHidden/>
    <w:rsid w:val="003D2313"/>
    <w:rPr>
      <w:b/>
      <w:bCs/>
    </w:rPr>
  </w:style>
  <w:style w:type="paragraph" w:customStyle="1" w:styleId="TableDash">
    <w:name w:val="Table Dash"/>
    <w:rsid w:val="00196809"/>
    <w:pPr>
      <w:numPr>
        <w:numId w:val="10"/>
      </w:numPr>
    </w:pPr>
    <w:rPr>
      <w:rFonts w:ascii="Arial Narrow" w:hAnsi="Arial Narrow"/>
      <w:szCs w:val="24"/>
    </w:rPr>
  </w:style>
  <w:style w:type="character" w:customStyle="1" w:styleId="BodyChar">
    <w:name w:val="Body Char"/>
    <w:basedOn w:val="DefaultParagraphFont"/>
    <w:link w:val="Body"/>
    <w:rsid w:val="00293089"/>
    <w:rPr>
      <w:rFonts w:ascii="Arial" w:hAnsi="Arial"/>
      <w:szCs w:val="24"/>
    </w:rPr>
  </w:style>
  <w:style w:type="character" w:customStyle="1" w:styleId="BodyTextChar">
    <w:name w:val="Body Text Char"/>
    <w:basedOn w:val="DefaultParagraphFont"/>
    <w:link w:val="BodyText"/>
    <w:rsid w:val="00C82CC6"/>
    <w:rPr>
      <w:sz w:val="24"/>
      <w:szCs w:val="24"/>
    </w:rPr>
  </w:style>
  <w:style w:type="paragraph" w:customStyle="1" w:styleId="SectionHeadTOC1">
    <w:name w:val="Section Head TOC1"/>
    <w:basedOn w:val="Normal"/>
    <w:rsid w:val="00196809"/>
    <w:pPr>
      <w:keepNext/>
      <w:spacing w:after="240"/>
      <w:jc w:val="center"/>
      <w:outlineLvl w:val="0"/>
    </w:pPr>
    <w:rPr>
      <w:b/>
      <w:kern w:val="28"/>
      <w:sz w:val="32"/>
    </w:rPr>
  </w:style>
  <w:style w:type="paragraph" w:customStyle="1" w:styleId="MarginBullet">
    <w:name w:val="Margin Bullet"/>
    <w:basedOn w:val="Bullet"/>
    <w:rsid w:val="00196809"/>
    <w:pPr>
      <w:numPr>
        <w:numId w:val="32"/>
      </w:numPr>
      <w:tabs>
        <w:tab w:val="clear" w:pos="0"/>
      </w:tabs>
      <w:spacing w:line="220" w:lineRule="exact"/>
      <w:ind w:left="274"/>
    </w:pPr>
  </w:style>
  <w:style w:type="paragraph" w:customStyle="1" w:styleId="MarginDash">
    <w:name w:val="Margin Dash"/>
    <w:basedOn w:val="Dash"/>
    <w:rsid w:val="00196809"/>
    <w:pPr>
      <w:numPr>
        <w:numId w:val="29"/>
      </w:numPr>
      <w:tabs>
        <w:tab w:val="clear" w:pos="0"/>
      </w:tabs>
      <w:ind w:left="490" w:hanging="216"/>
    </w:pPr>
  </w:style>
  <w:style w:type="paragraph" w:customStyle="1" w:styleId="Bullet3">
    <w:name w:val="Bullet +3"/>
    <w:basedOn w:val="Bullet"/>
    <w:rsid w:val="00196809"/>
    <w:pPr>
      <w:numPr>
        <w:numId w:val="31"/>
      </w:numPr>
      <w:tabs>
        <w:tab w:val="clear" w:pos="360"/>
      </w:tabs>
      <w:spacing w:before="60"/>
      <w:ind w:hanging="216"/>
    </w:pPr>
  </w:style>
  <w:style w:type="paragraph" w:customStyle="1" w:styleId="ElementText6">
    <w:name w:val="Element Text + 6"/>
    <w:basedOn w:val="ElementText"/>
    <w:rsid w:val="00196809"/>
    <w:pPr>
      <w:spacing w:before="120"/>
    </w:pPr>
  </w:style>
  <w:style w:type="paragraph" w:customStyle="1" w:styleId="ElementText">
    <w:name w:val="Element Text"/>
    <w:basedOn w:val="Body"/>
    <w:rsid w:val="00196809"/>
    <w:pPr>
      <w:spacing w:before="60" w:after="60" w:line="220" w:lineRule="exact"/>
      <w:ind w:left="58" w:right="29"/>
    </w:pPr>
    <w:rPr>
      <w:b/>
    </w:rPr>
  </w:style>
  <w:style w:type="paragraph" w:customStyle="1" w:styleId="FirstParagraph">
    <w:name w:val="First Paragraph"/>
    <w:basedOn w:val="Text"/>
    <w:next w:val="Text"/>
    <w:rsid w:val="00196809"/>
    <w:pPr>
      <w:spacing w:before="200"/>
    </w:pPr>
  </w:style>
  <w:style w:type="paragraph" w:customStyle="1" w:styleId="Text">
    <w:name w:val="Text"/>
    <w:basedOn w:val="Body"/>
    <w:next w:val="Body"/>
    <w:rsid w:val="00196809"/>
    <w:pPr>
      <w:spacing w:before="120" w:line="220" w:lineRule="exact"/>
      <w:ind w:left="58"/>
    </w:pPr>
  </w:style>
  <w:style w:type="paragraph" w:customStyle="1" w:styleId="TextHead">
    <w:name w:val="Text Head"/>
    <w:basedOn w:val="Text"/>
    <w:next w:val="Text"/>
    <w:rsid w:val="00196809"/>
    <w:pPr>
      <w:spacing w:before="200"/>
    </w:pPr>
    <w:rPr>
      <w:b/>
    </w:rPr>
  </w:style>
  <w:style w:type="paragraph" w:customStyle="1" w:styleId="StyleElementHeadLeft004Right004">
    <w:name w:val="Style Element Head + Left:  0.04&quot; Right:  0.04&quot;"/>
    <w:basedOn w:val="Normal"/>
    <w:rsid w:val="00196809"/>
    <w:pPr>
      <w:pBdr>
        <w:top w:val="single" w:sz="6" w:space="2" w:color="auto"/>
        <w:left w:val="single" w:sz="6" w:space="2" w:color="auto"/>
        <w:bottom w:val="single" w:sz="6" w:space="2" w:color="auto"/>
        <w:right w:val="single" w:sz="6" w:space="2" w:color="auto"/>
      </w:pBdr>
      <w:shd w:val="clear" w:color="auto" w:fill="000000"/>
      <w:ind w:right="58"/>
    </w:pPr>
    <w:rPr>
      <w:b/>
      <w:bCs/>
      <w:color w:val="FFFFFF"/>
      <w:szCs w:val="20"/>
    </w:rPr>
  </w:style>
  <w:style w:type="paragraph" w:customStyle="1" w:styleId="Breakpage">
    <w:name w:val="Break page"/>
    <w:basedOn w:val="Body"/>
    <w:qFormat/>
    <w:rsid w:val="00196809"/>
    <w:pPr>
      <w:spacing w:before="0"/>
      <w:jc w:val="right"/>
    </w:pPr>
    <w:rPr>
      <w:b/>
      <w:sz w:val="48"/>
    </w:rPr>
  </w:style>
  <w:style w:type="paragraph" w:customStyle="1" w:styleId="ProcessBulletLeft0">
    <w:name w:val="Process Bullet + Left:  0&quot;"/>
    <w:aliases w:val="First line:  0&quot;,Before:  9 pt"/>
    <w:basedOn w:val="ProcessBullet"/>
    <w:rsid w:val="002535A7"/>
    <w:pPr>
      <w:numPr>
        <w:numId w:val="0"/>
      </w:numPr>
      <w:spacing w:before="180"/>
    </w:pPr>
  </w:style>
  <w:style w:type="character" w:customStyle="1" w:styleId="CommentTextChar">
    <w:name w:val="Comment Text Char"/>
    <w:basedOn w:val="DefaultParagraphFont"/>
    <w:link w:val="CommentText"/>
    <w:semiHidden/>
    <w:rsid w:val="006A78E7"/>
    <w:rPr>
      <w:rFonts w:ascii="Arial" w:hAnsi="Arial"/>
      <w:szCs w:val="24"/>
    </w:rPr>
  </w:style>
  <w:style w:type="paragraph" w:styleId="Revision">
    <w:name w:val="Revision"/>
    <w:hidden/>
    <w:uiPriority w:val="99"/>
    <w:semiHidden/>
    <w:rsid w:val="00CF0AE9"/>
    <w:rPr>
      <w:rFonts w:ascii="Arial" w:hAnsi="Arial"/>
      <w:szCs w:val="24"/>
    </w:rPr>
  </w:style>
  <w:style w:type="paragraph" w:customStyle="1" w:styleId="BulletBold">
    <w:name w:val="Bullet + Bold"/>
    <w:basedOn w:val="Bullet"/>
    <w:rsid w:val="00614546"/>
    <w:pPr>
      <w:spacing w:before="0"/>
    </w:pPr>
    <w:rPr>
      <w:b/>
    </w:rPr>
  </w:style>
  <w:style w:type="character" w:customStyle="1" w:styleId="FooterChar">
    <w:name w:val="Footer Char"/>
    <w:basedOn w:val="DefaultParagraphFont"/>
    <w:link w:val="Footer"/>
    <w:rsid w:val="00295C18"/>
    <w:rPr>
      <w:rFonts w:ascii="Arial" w:hAnsi="Arial"/>
      <w:b/>
    </w:rPr>
  </w:style>
  <w:style w:type="character" w:styleId="Strong">
    <w:name w:val="Strong"/>
    <w:basedOn w:val="DefaultParagraphFont"/>
    <w:uiPriority w:val="22"/>
    <w:qFormat/>
    <w:rsid w:val="002F3F9D"/>
    <w:rPr>
      <w:b/>
      <w:bCs/>
    </w:rPr>
  </w:style>
  <w:style w:type="character" w:customStyle="1" w:styleId="ProcessBulletChar">
    <w:name w:val="Process Bullet Char"/>
    <w:basedOn w:val="DefaultParagraphFont"/>
    <w:link w:val="ProcessBullet"/>
    <w:rsid w:val="00912929"/>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288680">
      <w:bodyDiv w:val="1"/>
      <w:marLeft w:val="0"/>
      <w:marRight w:val="0"/>
      <w:marTop w:val="0"/>
      <w:marBottom w:val="0"/>
      <w:divBdr>
        <w:top w:val="none" w:sz="0" w:space="0" w:color="auto"/>
        <w:left w:val="none" w:sz="0" w:space="0" w:color="auto"/>
        <w:bottom w:val="none" w:sz="0" w:space="0" w:color="auto"/>
        <w:right w:val="none" w:sz="0" w:space="0" w:color="auto"/>
      </w:divBdr>
    </w:div>
    <w:div w:id="722751287">
      <w:bodyDiv w:val="1"/>
      <w:marLeft w:val="0"/>
      <w:marRight w:val="0"/>
      <w:marTop w:val="0"/>
      <w:marBottom w:val="0"/>
      <w:divBdr>
        <w:top w:val="none" w:sz="0" w:space="0" w:color="auto"/>
        <w:left w:val="none" w:sz="0" w:space="0" w:color="auto"/>
        <w:bottom w:val="none" w:sz="0" w:space="0" w:color="auto"/>
        <w:right w:val="none" w:sz="0" w:space="0" w:color="auto"/>
      </w:divBdr>
    </w:div>
    <w:div w:id="167071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19BD6-0456-4A5B-9159-7B1F0BC12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5273</Words>
  <Characters>30062</Characters>
  <Application>Microsoft Office Word</Application>
  <DocSecurity>6</DocSecurity>
  <Lines>250</Lines>
  <Paragraphs>70</Paragraphs>
  <ScaleCrop>false</ScaleCrop>
  <HeadingPairs>
    <vt:vector size="2" baseType="variant">
      <vt:variant>
        <vt:lpstr>Title</vt:lpstr>
      </vt:variant>
      <vt:variant>
        <vt:i4>1</vt:i4>
      </vt:variant>
    </vt:vector>
  </HeadingPairs>
  <TitlesOfParts>
    <vt:vector size="1" baseType="lpstr">
      <vt:lpstr>Dkdkdkdk</vt:lpstr>
    </vt:vector>
  </TitlesOfParts>
  <Company>NCQA</Company>
  <LinksUpToDate>false</LinksUpToDate>
  <CharactersWithSpaces>35265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Dkdkdkdk</dc:title>
  <dc:creator>Lacourci</dc:creator>
  <cp:lastModifiedBy>Cattleya Cheuk</cp:lastModifiedBy>
  <cp:revision>2</cp:revision>
  <cp:lastPrinted>2013-02-11T18:30:00Z</cp:lastPrinted>
  <dcterms:created xsi:type="dcterms:W3CDTF">2014-11-04T17:58:00Z</dcterms:created>
  <dcterms:modified xsi:type="dcterms:W3CDTF">2014-11-04T17:58:00Z</dcterms:modified>
</cp:coreProperties>
</file>